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ERVIN BALÁZS</w:t>
            </w:r>
          </w:p>
          <w:p w:rsidR="00C275A3" w:rsidRDefault="00A96AEC" w:rsidP="00C275A3">
            <w:pPr>
              <w:pStyle w:val="Hallgatokepzes"/>
            </w:pPr>
            <w:r>
              <w:t>Medical Laboratory and Diagnostic Imaging Analytical Expert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Levente István Lánczi M.D.</w:t>
            </w:r>
          </w:p>
          <w:p w:rsidR="00DB4822" w:rsidRDefault="00DB4822" w:rsidP="00E11062">
            <w:pPr>
              <w:pStyle w:val="Konzulensek"/>
            </w:pPr>
            <w:r w:rsidRPr="00DB4822">
              <w:t>PhD student,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Magnetic resonance contrast-media experiments on low field and on high field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és célkitűzés</w:t>
      </w:r>
      <w:r>
        <w:rPr>
          <w:color w:val="000000"/>
          <w:sz w:val="24"/>
          <w:szCs w:val="24"/>
        </w:rPr>
        <w:br/>
        <w:t xml:space="preserve">Az orvosi képalkotás egyik leggyorsabban fejlődő és legígéretesebb területe a mágneses magrezonanciás képalkotás (MRI). Kutatási témánk MRI kontrasztot adó valamint élő szervezetben előforduló vegyületek összehasonlító vizsgálata a Föld mágneses terén illetve 1,5T mágneses térerjű klinikai MRI-n.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  <w:r>
        <w:rPr>
          <w:color w:val="000000"/>
          <w:sz w:val="24"/>
          <w:szCs w:val="24"/>
        </w:rPr>
        <w:br/>
        <w:t xml:space="preserve">Méréseinkhez a Föld mágneses terén működő (ún. earth-field NMR, röviden efNMR) valamint klinikai 1,5T MRI készüléket használtunk. Na, Mn és Gd tartalmú vegyületek mellett háromféle Gd-tartalmú kontrasztanyag (Omniscan, Optimark, Dotarem) koncentrációsorait vizsgáltuk. T1, T2 idő és diffúzió mérést végeztünk, egymás után ötször és kontrollként külön-külön is öt alkalommal az efNMR készülékkel. A 1,5T készüléken T1 és T2 térképezést (mapping) végeztünk. A kiértékeléseket a készülékek vezérlésére használatos programokkal, illetve speciális térképezőprogramokkal végeztük. Eredményeinket adatbázisban összesítettük.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 paramágneses vegyületek és kontrasztanyagok relaxációs idői a koncentráció függvényében változtak. A relaxiációs idők 1,5T mágneses térerőn és a Föld mágneses térerején korrelációt mutattak, az efNMR mérések azonban jellemzően már alacsonyabb koncentrációjú oldatoknál is változást mutattak a relaxációs időkben. A diamágneses vegyületek esetében nem tapasztalható ilyen eltérés. A hőmérséklet diszkrét változásai nem befolyásolták a relaxációs időket.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</w:t>
      </w:r>
      <w:r>
        <w:rPr>
          <w:color w:val="000000"/>
          <w:sz w:val="24"/>
          <w:szCs w:val="24"/>
        </w:rPr>
        <w:br/>
        <w:t xml:space="preserve">A paramágneses (Mn, Gd tartalmú) vegyületek oldatai befolyásolják a relaxációs időket, az oldatokra és koncentrációjukra jellemzően. Alacsony kontrasztanyag-koncentráció mellett az efNMR mérések során szignifikánsan rövidültek a T1 idők. A bemutatott kísérletsorozat előfutára kontrasztanyag vizsgálatoknak és olyan biomarkerek feltérképezésének, melyek mind magas, mind alacsony térerőn alkalmazhatók.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173948">
    <w:multiLevelType w:val="hybridMultilevel"/>
    <w:lvl w:ilvl="0" w:tplc="72450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173948">
    <w:abstractNumId w:val="201739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77994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