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SPEKER MARIANNA</w:t>
            </w:r>
          </w:p>
          <w:p w:rsidR="00C275A3" w:rsidRDefault="00A96AEC" w:rsidP="00C275A3">
            <w:pPr>
              <w:pStyle w:val="Hallgatokepzes"/>
            </w:pPr>
            <w:r>
              <w:t>Orvosi laboratóriumi és képalkotó diagnosztikai analitikus</w:t>
            </w:r>
            <w:r>
              <w:br/>
            </w:r>
            <w:r w:rsidR="00E77B23">
              <w:t>BSc, 7.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UDVARI ÁGNES</w:t>
            </w:r>
          </w:p>
          <w:p w:rsidR="00DB4822" w:rsidRDefault="00C275A3" w:rsidP="004D7940">
            <w:pPr>
              <w:pStyle w:val="Hallgatokepzes"/>
            </w:pPr>
            <w:r>
              <w:t>Orvosi laboratóriumi és képalkotó diagnosztikai analitikus</w:t>
            </w:r>
            <w:r w:rsidR="00A96AEC">
              <w:br/>
              <w:t>BSc,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Bereczky Zsuzsanna</w:t>
            </w:r>
          </w:p>
          <w:p w:rsidR="00DB4822" w:rsidRDefault="00DB4822" w:rsidP="00E11062">
            <w:pPr>
              <w:pStyle w:val="Konzulensek"/>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heparin kötés zavarával járó antitrombin deficiencia előfordulása Kelet-Magyarországon;érvényesül-e alapító hatás?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antitrombin (AT) a koaguláció kulcsfontosságú szabályozója. Fő feladata a trombin és az aktív X-es faktor gátlása. Az AT deficiencia I-es típusú (kvantitatív) és II-es típusú (kvalitatív) lehet. A II-es típusú deficiencia érintheti az AT fehérje reaktív helyét (II RS), a heparin-kötőhelyét (II HBS) vagy lehet pleiotróp hatású (II PE) is. A II HBS kivételével minden típus súlyos trombofíliát eredményez heterozigóta formában is, a homozigóta forma pedig az élettel összeegyeztethetetlen.</w:t>
      </w:r>
      <w:r>
        <w:rPr>
          <w:color w:val="000000"/>
          <w:sz w:val="24"/>
          <w:szCs w:val="24"/>
        </w:rPr>
        <w:br/>
        <w:t xml:space="preserve">A 2007-2012 közötti időszakban 61 AT deficiens családot regisztráltunk, 52-nél igazoltunk II HBS típust; 3 családban az AT Basel (p.Pro41Leu), 4 családban az AT Padua I (p.Arg47His) mutációt mutattuk ki. Az esetek döntő többségében, 45 családban az AT Budapest 3 (AT Bp3; p.Leu99Phe) mutációt detektáltuk. Ez az óriási arány indokolttá tette alapító hatás feltérképezését. Ennek érdekében az AT Bp3 mutációt hordozó betegeknél és családtagjaiknál (n=78) megvizsgáltuk az AT génben található 5’ hossz polimorfizmust (5’LP), az rs2227596, az rs941989, az rs2227612, az rs5877 valamint az rs5878 DNS markereket. Előbbi négy polimorfizmust a magyar általános populációt reprezentáló 200 személyen is detektáltuk. E markerek detektálását PCR amplifikációt követő agaróz gélelektroforézissel (5’LP), DNS szekvenálással (rs5877 és rs5878) és olvadáspont görbe analízisen alapuló LightCycler módszerrel (rs2227596, rs941989 és rs2227612) végeztük. Az AT Bp3 mutáció nem volt kimutatható a kontroll személyeken; a vizsgált polimorfizmusok allélfrekvencia értékei esetükben megegyeztek a HapMap kaukázusi populációra vonatkozó adataival, míg az AT Bp3 betegek allélfrekvencia értékei ettől jelentősen eltértek. A genotipizálási eredmények alapján meghatároztuk a lehetséges haplotípusokat, valamint, ahol lehetőségünk volt rá, családfa térképeket készítettünk. Megállapítottuk, hogy az AT Bp3 minden esetben egy adott haplotípussal társul. Ezek és a családfa analízisek eredményei jól demonstrálják az alapító hatást.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08270">
    <w:multiLevelType w:val="hybridMultilevel"/>
    <w:lvl w:ilvl="0" w:tplc="84812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08270">
    <w:abstractNumId w:val="55408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86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