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SÁRKÖZI ADRIENN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Pintér Alexandra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Cseh Domonkos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Végállapotú májbetegekben a károsodott neurális baroreflex-érzékenység összefügg a fokozott endotélfunkcióval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krónikus májelégtelenség mortalitásának rizikófaktora a csökkent baroreflex-érzékenység (BRS), azonban a csökkenés mechanizmusa nem ismert. A baroreflex két komponensből áll: a baroreceptor érterületek tágulékonysága által meghatározott mechanikus (mBRS) és az idegrendszeri jelfeldolgozás érzékenységéből adódó neurális (nBRS) összetevőből. Állatkísérletes tanulmányok szerint a NO a központi idegrendszeri struktúrákban hatva dózisfüggően modulálja a baroreflex-érzékenységet. A krónikus májbetegségben kimutatott fokozott endoteliális NO-felszabadulás a neurális összetevőt károsíthatja. Jelen tanulmányunk célja kettős volt: megvizsgáltuk, hogy (i) a károsodott baroreflex-funkció hátterében a mBRS és/vagy a nBRS csökkenése áll-e, illetve (ii) hogyan befolyásolja a fokozott endotélfunkció a nBRS-t.</w:t>
      </w:r>
      <w:r>
        <w:rPr>
          <w:color w:val="000000"/>
          <w:sz w:val="24"/>
          <w:szCs w:val="24"/>
        </w:rPr>
        <w:br/>
        <w:t xml:space="preserve">Módszerek: 20 krónikus májelégtelenségben szenvedő beteget, valamint 17 korban és nemben egyeztetett kontroll alanyt vizsgáltunk. A BRS-t EKG- és vérnyomásmérés alapján határoztuk meg. A mBRS-t az a. carotis communis disztenzibilitási koefficiensével (DC) jellemeztük. A nBRS becslésére a BRS és a DC hányadosát használtuk. Az endotélfunkciót az a. brachialis áramlás-indukált vazodilatációjával (FMD) jellemeztük.</w:t>
      </w:r>
      <w:r>
        <w:rPr>
          <w:color w:val="000000"/>
          <w:sz w:val="24"/>
          <w:szCs w:val="24"/>
        </w:rPr>
        <w:br/>
        <w:t xml:space="preserve">Eredmények: A BRS jelentős csökkenést mutatott a betegcsoportban a kontrollcsoporthoz képest (8,5±2,7</w:t>
      </w:r>
      <w:r>
        <w:rPr>
          <w:color w:val="000000"/>
          <w:position w:val="4"/>
          <w:sz w:val="21"/>
          <w:szCs w:val="21"/>
          <w:vertAlign w:val="superscript"/>
        </w:rPr>
        <w:t xml:space="preserve">*</w:t>
      </w:r>
      <w:r>
        <w:rPr>
          <w:color w:val="000000"/>
          <w:sz w:val="24"/>
          <w:szCs w:val="24"/>
        </w:rPr>
        <w:t xml:space="preserve"> vs. 13,5±9,3 ms/Hgmm). A mBRS a két csoportban nem különbözött (2,5±0,8 vs. 2,4±0,8 10</w:t>
      </w:r>
      <w:r>
        <w:rPr>
          <w:color w:val="000000"/>
          <w:position w:val="4"/>
          <w:sz w:val="21"/>
          <w:szCs w:val="21"/>
          <w:vertAlign w:val="superscript"/>
        </w:rPr>
        <w:t xml:space="preserve">-3</w:t>
      </w:r>
      <w:r>
        <w:rPr>
          <w:color w:val="000000"/>
          <w:sz w:val="24"/>
          <w:szCs w:val="24"/>
        </w:rPr>
        <w:t xml:space="preserve">/Hgmm), azonban a nBRS jelentős csökkenést mutatott a májbetegekben az egészségesekhez képest (3,6±1,5</w:t>
      </w:r>
      <w:r>
        <w:rPr>
          <w:color w:val="000000"/>
          <w:position w:val="4"/>
          <w:sz w:val="21"/>
          <w:szCs w:val="21"/>
          <w:vertAlign w:val="superscript"/>
        </w:rPr>
        <w:t xml:space="preserve">*</w:t>
      </w:r>
      <w:r>
        <w:rPr>
          <w:color w:val="000000"/>
          <w:sz w:val="24"/>
          <w:szCs w:val="24"/>
        </w:rPr>
        <w:t xml:space="preserve"> vs. 5,5±3,0 ms/10</w:t>
      </w:r>
      <w:r>
        <w:rPr>
          <w:color w:val="000000"/>
          <w:position w:val="4"/>
          <w:sz w:val="21"/>
          <w:szCs w:val="21"/>
          <w:vertAlign w:val="superscript"/>
        </w:rPr>
        <w:t xml:space="preserve">-3</w:t>
      </w:r>
      <w:r>
        <w:rPr>
          <w:color w:val="000000"/>
          <w:sz w:val="24"/>
          <w:szCs w:val="24"/>
        </w:rPr>
        <w:t xml:space="preserve">). Az FMD jelentősen nagyobb volt a betegcsoportban (9,9±4,0</w:t>
      </w:r>
      <w:r>
        <w:rPr>
          <w:color w:val="000000"/>
          <w:position w:val="4"/>
          <w:sz w:val="21"/>
          <w:szCs w:val="21"/>
          <w:vertAlign w:val="superscript"/>
        </w:rPr>
        <w:t xml:space="preserve">†</w:t>
      </w:r>
      <w:r>
        <w:rPr>
          <w:color w:val="000000"/>
          <w:sz w:val="24"/>
          <w:szCs w:val="24"/>
        </w:rPr>
        <w:t xml:space="preserve"> vs. 5,9±1,3 %). Az FMD és a nBRS között betegeknél szignifikáns negatív (r=-0,51</w:t>
      </w:r>
      <w:r>
        <w:rPr>
          <w:color w:val="000000"/>
          <w:position w:val="4"/>
          <w:sz w:val="21"/>
          <w:szCs w:val="21"/>
          <w:vertAlign w:val="superscript"/>
        </w:rPr>
        <w:t xml:space="preserve">*</w:t>
      </w:r>
      <w:r>
        <w:rPr>
          <w:color w:val="000000"/>
          <w:sz w:val="24"/>
          <w:szCs w:val="24"/>
        </w:rPr>
        <w:t xml:space="preserve">), míg kontroll alanyokban szignifikáns pozitív (r=0,62</w:t>
      </w:r>
      <w:r>
        <w:rPr>
          <w:color w:val="000000"/>
          <w:position w:val="4"/>
          <w:sz w:val="21"/>
          <w:szCs w:val="21"/>
          <w:vertAlign w:val="superscript"/>
        </w:rPr>
        <w:t xml:space="preserve">*</w:t>
      </w:r>
      <w:r>
        <w:rPr>
          <w:color w:val="000000"/>
          <w:sz w:val="24"/>
          <w:szCs w:val="24"/>
        </w:rPr>
        <w:t xml:space="preserve">) korrelációt találtunk. (átlag±SD; </w:t>
      </w:r>
      <w:r>
        <w:rPr>
          <w:color w:val="000000"/>
          <w:position w:val="4"/>
          <w:sz w:val="21"/>
          <w:szCs w:val="21"/>
          <w:vertAlign w:val="superscript"/>
        </w:rPr>
        <w:t xml:space="preserve">*</w:t>
      </w:r>
      <w:r>
        <w:rPr>
          <w:color w:val="000000"/>
          <w:sz w:val="24"/>
          <w:szCs w:val="24"/>
        </w:rPr>
        <w:t xml:space="preserve">:p&lt;0,05; </w:t>
      </w:r>
      <w:r>
        <w:rPr>
          <w:color w:val="000000"/>
          <w:position w:val="4"/>
          <w:sz w:val="21"/>
          <w:szCs w:val="21"/>
          <w:vertAlign w:val="superscript"/>
        </w:rPr>
        <w:t xml:space="preserve">†</w:t>
      </w:r>
      <w:r>
        <w:rPr>
          <w:color w:val="000000"/>
          <w:sz w:val="24"/>
          <w:szCs w:val="24"/>
        </w:rPr>
        <w:t xml:space="preserve">:p&lt;0,01)</w:t>
      </w:r>
      <w:r>
        <w:rPr>
          <w:color w:val="000000"/>
          <w:sz w:val="24"/>
          <w:szCs w:val="24"/>
        </w:rPr>
        <w:br/>
        <w:t xml:space="preserve">Következtetés: A végállapotú májbetegek csökkent baroreflex-funkciójának hátterében nem a BRS mechanikus, hanem neurális komponensének károsodása áll. Egészségesekben az endoteliális NO a neurális baroreflex-érzékenységet növeli, míg krónikus májbetegekben a centrális, endoteliális NO-túltermelés feltehetőleg szerepet játszik a nBRS-csökkenés mechanizmusában.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87510">
    <w:multiLevelType w:val="hybridMultilevel"/>
    <w:lvl w:ilvl="0" w:tplc="58582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87510">
    <w:abstractNumId w:val="97587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926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