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PÉTER OROSZ</w:t>
            </w:r>
          </w:p>
          <w:p w:rsidR="00C275A3" w:rsidRDefault="00A96AEC" w:rsidP="00C275A3">
            <w:pPr>
              <w:pStyle w:val="Hallgatokepzes"/>
            </w:pPr>
            <w:r>
              <w:t>Faculty of Pharmacy</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Csík</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charge and the molecular size in the interactions of cationic porphyrins with DNA and nucleoprotein complex</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known for some time now that cationic porphyrins bind to DNA with high affinity. The mechanism of the interaction can be either intercalative or external binding, the optical properties and base-preference of which was determined. The porphyrin-peptide conjugates, that can enhance the cellular uptake of porphyrins, increasing the efficiency of photodynamic therapy; and can also be used to deliver peptides to the vicinity of the DNA, raise new questions in the field of porphyrin-DNA interactions.</w:t>
      </w:r>
    </w:p>
    <w:p>
      <w:pPr>
        <w:widowControl w:val="on"/>
        <w:pBdr/>
        <w:spacing w:before="240" w:after="240" w:line="240" w:lineRule="auto"/>
        <w:ind w:left="0" w:right="0"/>
        <w:jc w:val="left"/>
      </w:pPr>
      <w:r>
        <w:rPr>
          <w:color w:val="000000"/>
          <w:sz w:val="24"/>
          <w:szCs w:val="24"/>
        </w:rPr>
        <w:t xml:space="preserve">We investigated, whether the size of the conjugates, distribution of the charges, and the tertiary structure of the DNA have an effect on the binding. As a model-compound we used tetrakis(N-methylpyridyl)porphyrin (TMPP) and its derivatives: the tris(N-methylpyridyl)carboxyphenyl-porphyrin (TMPCP) and bis(N-methylpyridyl)carboxyphenyl-porphyrin (BMPCP), furthermore their tetrapeptide conjugates (TMPCP-4P, BMPCP-4P</w:t>
      </w:r>
      <w:r>
        <w:rPr>
          <w:color w:val="000000"/>
          <w:position w:val="-4"/>
          <w:sz w:val="21"/>
          <w:szCs w:val="21"/>
          <w:vertAlign w:val="subscript"/>
        </w:rPr>
        <w:t xml:space="preserve">2</w:t>
      </w:r>
      <w:r>
        <w:rPr>
          <w:color w:val="000000"/>
          <w:sz w:val="24"/>
          <w:szCs w:val="24"/>
        </w:rPr>
        <w:t xml:space="preserve">). DNA was isolated from T7 bacteriophage; as nucleoprotein complex the complete phage particle was used (NP). We conducted the experiments in Tris-HCl buffer solution (pH=7.4) at room temperature. We followed the binding-process with absorption spectroscopy (Cary 4E spectrometer) and analyzed the spectra with a mathemathical model developed previously. For the identification of binding forms fluorescence lifetime measurment (ISS Chronos BH) and circular dichroism (Jasco J-810 dichrograph) was used. With isotherm calorimetry (VP-ITC Microcal) thermodynamic parameters were determined.</w:t>
      </w:r>
    </w:p>
    <w:p>
      <w:pPr>
        <w:widowControl w:val="on"/>
        <w:pBdr/>
        <w:spacing w:before="240" w:after="240" w:line="240" w:lineRule="auto"/>
        <w:ind w:left="0" w:right="0"/>
        <w:jc w:val="left"/>
      </w:pPr>
      <w:r>
        <w:rPr>
          <w:color w:val="000000"/>
          <w:sz w:val="24"/>
          <w:szCs w:val="24"/>
        </w:rPr>
        <w:t xml:space="preserve">Our results indicate, that the determining factor in the interaction of isolated DNA and porphyrins is the charge of the molecules: the affinity of the tetra-cationic TMPP is the highest, followed by the tri-cationic molecules, with TMPCP-4P being more inclined to bind to DNA than TMPCP, because of the eliminated negative charges during peptide conjugation; BMPCP-4P</w:t>
      </w:r>
      <w:r>
        <w:rPr>
          <w:color w:val="000000"/>
          <w:position w:val="-4"/>
          <w:sz w:val="21"/>
          <w:szCs w:val="21"/>
          <w:vertAlign w:val="subscript"/>
        </w:rPr>
        <w:t xml:space="preserve">2</w:t>
      </w:r>
      <w:r>
        <w:rPr>
          <w:color w:val="000000"/>
          <w:sz w:val="24"/>
          <w:szCs w:val="24"/>
        </w:rPr>
        <w:t xml:space="preserve"> has somewhat weaker binding, while BMPCP is the least willing to interact among the derivatives. With the exception of BMPCP, both binding forms are present in the case of the new compounds, but their relative contributions are different. In the presence of NP the binding order exhibits alterations, the size of the molecules becomes dominant. The binding affinity of the conjugates decreases, the mode of interaction of these derivatives is mostly external complex.</w:t>
      </w:r>
    </w:p>
    <w:p>
      <w:pPr>
        <w:widowControl w:val="on"/>
        <w:pBdr/>
        <w:spacing w:before="240" w:after="240" w:line="240" w:lineRule="auto"/>
        <w:ind w:left="0" w:right="0"/>
        <w:jc w:val="left"/>
      </w:pPr>
      <w:r>
        <w:rPr>
          <w:color w:val="000000"/>
          <w:sz w:val="24"/>
          <w:szCs w:val="24"/>
        </w:rPr>
        <w:t xml:space="preserve">Our findings provide essential information for the future therapeutic use of porphyrin-peptide conjugates.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14796">
    <w:multiLevelType w:val="hybridMultilevel"/>
    <w:lvl w:ilvl="0" w:tplc="97683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14796">
    <w:abstractNumId w:val="15514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186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