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TOTH</w:t>
            </w:r>
          </w:p>
          <w:p w:rsidR="00C275A3" w:rsidRDefault="00A96AEC" w:rsidP="00C275A3">
            <w:pPr>
              <w:pStyle w:val="Hallgatokepzes"/>
            </w:pPr>
            <w:r>
              <w:t>medical doctor</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Kereszturi Dr.</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Intracellular localization of Ncb5or oxidoreductase enzyme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NAD(P)H cytochrome b5 oxidoreductase (Ncb5or) is a recently described natural fusion protein which shows close structural similarity to two enzymes of fatty acid desaturation. The function of Ncb5or has not been clarified yet, moreover, the literature about its intracellular localization is also contradictory. In Ncb5or knock-out mice, as a consequence of the increased stress sensibility of beta-cells, diabetes is developed. To elucidate the protecting effect of Ncb5or on beta-cells, our first aim was to clarify the exact intracellular localization of this soluble enzyme.</w:t>
      </w:r>
    </w:p>
    <w:p>
      <w:pPr>
        <w:widowControl w:val="on"/>
        <w:pBdr/>
        <w:spacing w:before="240" w:after="240" w:line="240" w:lineRule="auto"/>
        <w:ind w:left="0" w:right="0"/>
        <w:jc w:val="left"/>
      </w:pPr>
      <w:r>
        <w:rPr>
          <w:color w:val="000000"/>
          <w:sz w:val="24"/>
          <w:szCs w:val="24"/>
        </w:rPr>
        <w:t xml:space="preserve">Methods: The intracellular localization of endogenously expressing Ncb5or was analyzed using human HEK293T cell line. Cells were harvested and homogenized, the subcellular fractions were separated by subsequent (ultra)centrifugations. The purity of subcellular fractions was confirmed, characteristic proteins of cell organelles were detected by immunoblot. The intracellular localization of Ncb5or was further analyzed by fluorescence microscopy. Green fluorescence fusion protein was generated by subcloning Ncb5or into pEGFP-N1 vectorial background. The construct was transiently transfected into HEK293T cells and analyzed by microcopy. As a control, nucleus and endoplasmic reticulum were also stained.</w:t>
      </w:r>
    </w:p>
    <w:p>
      <w:pPr>
        <w:widowControl w:val="on"/>
        <w:pBdr/>
        <w:spacing w:before="240" w:after="240" w:line="240" w:lineRule="auto"/>
        <w:ind w:left="0" w:right="0"/>
        <w:jc w:val="left"/>
      </w:pPr>
      <w:r>
        <w:rPr>
          <w:color w:val="000000"/>
          <w:sz w:val="24"/>
          <w:szCs w:val="24"/>
        </w:rPr>
        <w:t xml:space="preserve">Results: Expression of endogenous Ncb5or could be demonstrated in our HEK293T cell line both at mRNA and protein levels. Purity of the generated nuclear, microsomal, mitochondrial and cytosolic cell fractions were confirmed by the detection of proteins characteristic for the given cell compartment. Ncb5or could only be detected in the cytosolic fraction using an antibody either against the protein, or against the tag which was used for labeling. This observation could be confirmed using fluorescent microscopy. Ncb5or fusion protein was observed in the cytoplasm of the cells in a diffuse manner, but no co-localization could be detected with fluorescent markers labeling either the nucleus or the endoplasmic reticulum.</w:t>
      </w:r>
    </w:p>
    <w:p>
      <w:pPr>
        <w:widowControl w:val="on"/>
        <w:pBdr/>
        <w:spacing w:before="240" w:after="240" w:line="240" w:lineRule="auto"/>
        <w:ind w:left="0" w:right="0"/>
        <w:jc w:val="left"/>
      </w:pPr>
      <w:r>
        <w:rPr>
          <w:color w:val="000000"/>
          <w:sz w:val="24"/>
          <w:szCs w:val="24"/>
        </w:rPr>
        <w:t xml:space="preserve">Conclusions: Our results clearly prove, that Ncb5or is localized in the cytoplasm, consequently the earlier presumption, suggesting that the enzyme uses reducing equivalents directly from the lumen of the endoplasmic reticulum could be ruled out. On the other hand our observations agree with the putative role of the enzyme in the fatty acid metabolism, however further research is necessitated to clarify this mechanism in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71233">
    <w:multiLevelType w:val="hybridMultilevel"/>
    <w:lvl w:ilvl="0" w:tplc="71050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71233">
    <w:abstractNumId w:val="30271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827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