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KOLLÁR</w:t>
            </w:r>
          </w:p>
          <w:p w:rsidR="00C275A3" w:rsidRDefault="00A96AEC" w:rsidP="00C275A3">
            <w:pPr>
              <w:pStyle w:val="Hallgatokepzes"/>
            </w:pPr>
            <w:r>
              <w:t>medicine</w:t>
            </w:r>
            <w:r>
              <w:br/>
            </w:r>
            <w:r w:rsidR="00E77B23">
              <w:t>Unified, 9.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Köles MD, PhD</w:t>
            </w:r>
          </w:p>
          <w:p w:rsidR="00DB4822" w:rsidRDefault="00DB4822" w:rsidP="00E11062">
            <w:pPr>
              <w:pStyle w:val="Konzulensek"/>
            </w:pPr>
            <w:r w:rsidRPr="00DB4822">
              <w:t>associate professor, SE ÁOK</w:t>
            </w:r>
          </w:p>
        </w:tc>
      </w:tr>
      <w:tr w:rsidR="00DB4822" w:rsidTr="00DB4822">
        <w:tc>
          <w:tcPr>
            <w:tcW w:w="9854" w:type="dxa"/>
          </w:tcPr>
          <w:p w:rsidR="00DB4822" w:rsidRPr="00DB4822" w:rsidRDefault="00DB4822" w:rsidP="004D7940">
            <w:pPr>
              <w:pStyle w:val="Konzulensek"/>
            </w:pPr>
            <w:r w:rsidRPr="00DB4822">
              <w:t>Erzsébet Kató MD, PhD</w:t>
            </w:r>
          </w:p>
          <w:p w:rsidR="00DB4822" w:rsidRDefault="00DB4822" w:rsidP="00E11062">
            <w:pPr>
              <w:pStyle w:val="Konzulensek"/>
            </w:pPr>
            <w:r w:rsidRPr="00DB4822">
              <w:t>assistant 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angiotensin on the NMDA type glutamate receptors in the layer V pyramidal cells of prefrontal cortex</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NMDA type glutamate receptors in the prefrontal cortex (PFC) are critically involved in cognitive functions and behaviour. Angiotensin II (AT) has been reported to influence learning and memory in behavioural tests. The aim of the present study was to investigate the effect of AT on NMDA receptor function in layer V pyramidal cells of the PFC by means of patch clamp technique. Brain slices were prepared from 10-11 day old rats, and whole-cell patch clamp access was established in pyramidal cell of the PFC. The cells were continuously perfused (2.5-3 ml/min) with artificial cerebrospinal fluid (ACSF). NMDA (30 μM) applied three times for 1.5 min with 10-min intervals between applications induced inward currents (T</w:t>
      </w:r>
      <w:r>
        <w:rPr>
          <w:color w:val="000000"/>
          <w:position w:val="-4"/>
          <w:sz w:val="21"/>
          <w:szCs w:val="21"/>
          <w:vertAlign w:val="subscript"/>
        </w:rPr>
        <w:t xml:space="preserve">1-3</w:t>
      </w:r>
      <w:r>
        <w:rPr>
          <w:color w:val="000000"/>
          <w:sz w:val="24"/>
          <w:szCs w:val="24"/>
        </w:rPr>
        <w:t xml:space="preserve">). AT was applied 5 min before and during T</w:t>
      </w:r>
      <w:r>
        <w:rPr>
          <w:color w:val="000000"/>
          <w:position w:val="-4"/>
          <w:sz w:val="21"/>
          <w:szCs w:val="21"/>
          <w:vertAlign w:val="subscript"/>
        </w:rPr>
        <w:t xml:space="preserve">3</w:t>
      </w:r>
      <w:r>
        <w:rPr>
          <w:color w:val="000000"/>
          <w:sz w:val="24"/>
          <w:szCs w:val="24"/>
        </w:rPr>
        <w:t xml:space="preserve">, if the antagonist eprosartan was tested, it was present in the ACSF during the whole experiment. The effects at T</w:t>
      </w:r>
      <w:r>
        <w:rPr>
          <w:color w:val="000000"/>
          <w:position w:val="-4"/>
          <w:sz w:val="21"/>
          <w:szCs w:val="21"/>
          <w:vertAlign w:val="subscript"/>
        </w:rPr>
        <w:t xml:space="preserve">3</w:t>
      </w:r>
      <w:r>
        <w:rPr>
          <w:color w:val="000000"/>
          <w:sz w:val="24"/>
          <w:szCs w:val="24"/>
        </w:rPr>
        <w:t xml:space="preserve"> were presented as T</w:t>
      </w:r>
      <w:r>
        <w:rPr>
          <w:color w:val="000000"/>
          <w:position w:val="-4"/>
          <w:sz w:val="21"/>
          <w:szCs w:val="21"/>
          <w:vertAlign w:val="subscript"/>
        </w:rPr>
        <w:t xml:space="preserve">3</w:t>
      </w:r>
      <w:r>
        <w:rPr>
          <w:color w:val="000000"/>
          <w:sz w:val="24"/>
          <w:szCs w:val="24"/>
        </w:rPr>
        <w:t xml:space="preserve">/T</w:t>
      </w:r>
      <w:r>
        <w:rPr>
          <w:color w:val="000000"/>
          <w:position w:val="-4"/>
          <w:sz w:val="21"/>
          <w:szCs w:val="21"/>
          <w:vertAlign w:val="subscript"/>
        </w:rPr>
        <w:t xml:space="preserve">2</w:t>
      </w:r>
      <w:r>
        <w:rPr>
          <w:color w:val="000000"/>
          <w:sz w:val="24"/>
          <w:szCs w:val="24"/>
        </w:rPr>
        <w:t xml:space="preserve"> ratio. More than ±15% change at T</w:t>
      </w:r>
      <w:r>
        <w:rPr>
          <w:color w:val="000000"/>
          <w:position w:val="-4"/>
          <w:sz w:val="21"/>
          <w:szCs w:val="21"/>
          <w:vertAlign w:val="subscript"/>
        </w:rPr>
        <w:t xml:space="preserve">3</w:t>
      </w:r>
      <w:r>
        <w:rPr>
          <w:color w:val="000000"/>
          <w:sz w:val="24"/>
          <w:szCs w:val="24"/>
        </w:rPr>
        <w:t xml:space="preserve"> compared to T</w:t>
      </w:r>
      <w:r>
        <w:rPr>
          <w:color w:val="000000"/>
          <w:position w:val="-4"/>
          <w:sz w:val="21"/>
          <w:szCs w:val="21"/>
          <w:vertAlign w:val="subscript"/>
        </w:rPr>
        <w:t xml:space="preserve">2</w:t>
      </w:r>
      <w:r>
        <w:rPr>
          <w:color w:val="000000"/>
          <w:sz w:val="24"/>
          <w:szCs w:val="24"/>
        </w:rPr>
        <w:t xml:space="preserve"> was considered as an effect. The T</w:t>
      </w:r>
      <w:r>
        <w:rPr>
          <w:color w:val="000000"/>
          <w:position w:val="-4"/>
          <w:sz w:val="21"/>
          <w:szCs w:val="21"/>
          <w:vertAlign w:val="subscript"/>
        </w:rPr>
        <w:t xml:space="preserve">3</w:t>
      </w:r>
      <w:r>
        <w:rPr>
          <w:color w:val="000000"/>
          <w:sz w:val="24"/>
          <w:szCs w:val="24"/>
        </w:rPr>
        <w:t xml:space="preserve">/T</w:t>
      </w:r>
      <w:r>
        <w:rPr>
          <w:color w:val="000000"/>
          <w:position w:val="-4"/>
          <w:sz w:val="21"/>
          <w:szCs w:val="21"/>
          <w:vertAlign w:val="subscript"/>
        </w:rPr>
        <w:t xml:space="preserve">2</w:t>
      </w:r>
      <w:r>
        <w:rPr>
          <w:color w:val="000000"/>
          <w:sz w:val="24"/>
          <w:szCs w:val="24"/>
        </w:rPr>
        <w:t xml:space="preserve"> ratios were summarized as mean ± SEM of n experiments. One-way ANOVA followed by Bonferroni’s t-test were used for statistical analysis, p1 antagonist eprosartan (1 µM). 1 µM AT potentiated the NMDA currents in approximately 50 % of the pyramidal cells. In 25% of the cases it caused inhibition, and it did not influence the NMDA currents in the rest of the cells. The potentiation was again reversed by eprosartan (1 µM), in the presence of eprosartan, 1 µM AT caused either an inhibition or no effect. 3 µM AT by itself caused either inhibition of the NMDA currents, or the cells failed to respond to 3 µM AT. These effects of 3 µM AT were not influenced by 1 µM eprosartan. In summary, AT has a dual effect on the NMDA receptors in layer V pyramidal cells of the PFC: at lower agonist concentrations (0.3-1 µM) it potentiates the NMDA currents in a subpopulation of the cells. This facilitatory effect can be reversed by the AT</w:t>
      </w:r>
      <w:r>
        <w:rPr>
          <w:color w:val="000000"/>
          <w:position w:val="-4"/>
          <w:sz w:val="21"/>
          <w:szCs w:val="21"/>
          <w:vertAlign w:val="subscript"/>
        </w:rPr>
        <w:t xml:space="preserve">1</w:t>
      </w:r>
      <w:r>
        <w:rPr>
          <w:color w:val="000000"/>
          <w:sz w:val="24"/>
          <w:szCs w:val="24"/>
        </w:rPr>
        <w:t xml:space="preserve"> antagonist eprosartan (1 µM). It suggests that the potentiation occurs via the activation of AT</w:t>
      </w:r>
      <w:r>
        <w:rPr>
          <w:color w:val="000000"/>
          <w:position w:val="-4"/>
          <w:sz w:val="21"/>
          <w:szCs w:val="21"/>
          <w:vertAlign w:val="subscript"/>
        </w:rPr>
        <w:t xml:space="preserve">1</w:t>
      </w:r>
      <w:r>
        <w:rPr>
          <w:color w:val="000000"/>
          <w:sz w:val="24"/>
          <w:szCs w:val="24"/>
        </w:rPr>
        <w:t xml:space="preserve"> receptors. AT in higher concentrations (1-3 µM) causes inhibition of the NMDA currents in another subpopulation of the cells, and this inhibition is not influenced by the AT</w:t>
      </w:r>
      <w:r>
        <w:rPr>
          <w:color w:val="000000"/>
          <w:position w:val="-4"/>
          <w:sz w:val="21"/>
          <w:szCs w:val="21"/>
          <w:vertAlign w:val="subscript"/>
        </w:rPr>
        <w:t xml:space="preserve">1</w:t>
      </w:r>
      <w:r>
        <w:rPr>
          <w:color w:val="000000"/>
          <w:sz w:val="24"/>
          <w:szCs w:val="24"/>
        </w:rPr>
        <w:t xml:space="preserve"> antagonist eprosartan.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801845">
    <w:multiLevelType w:val="hybridMultilevel"/>
    <w:lvl w:ilvl="0" w:tplc="949723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801845">
    <w:abstractNumId w:val="528018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6574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