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HEGEDUS</w:t>
            </w:r>
          </w:p>
          <w:p w:rsidR="00C275A3" w:rsidRDefault="00A96AEC" w:rsidP="00C275A3">
            <w:pPr>
              <w:pStyle w:val="Hallgatokepzes"/>
            </w:pPr>
            <w:r>
              <w:t>Dentist</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HAJNALKA REIDER</w:t>
            </w:r>
          </w:p>
          <w:p w:rsidR="00DB4822" w:rsidRDefault="00C275A3" w:rsidP="004D7940">
            <w:pPr>
              <w:pStyle w:val="Hallgatokepzes"/>
            </w:pPr>
            <w:r>
              <w:t>Biotechnology</w:t>
            </w:r>
            <w:r w:rsidR="00A96AEC">
              <w:br/>
              <w:t>BSc,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Natural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Perczel-Kovách</w:t>
            </w:r>
          </w:p>
          <w:p w:rsidR="00DB4822" w:rsidRDefault="00DB4822" w:rsidP="00E11062">
            <w:pPr>
              <w:pStyle w:val="Konzulensek"/>
            </w:pPr>
            <w:r w:rsidRPr="00DB4822">
              <w:t>PhD student, SE FOK</w:t>
            </w:r>
          </w:p>
        </w:tc>
      </w:tr>
      <w:tr w:rsidR="00DB4822" w:rsidTr="00DB4822">
        <w:tc>
          <w:tcPr>
            <w:tcW w:w="9854" w:type="dxa"/>
          </w:tcPr>
          <w:p w:rsidR="00DB4822" w:rsidRPr="00DB4822" w:rsidRDefault="00DB4822" w:rsidP="004D7940">
            <w:pPr>
              <w:pStyle w:val="Konzulensek"/>
            </w:pPr>
            <w:r w:rsidRPr="00DB4822">
              <w:t>Dr. Krisztina Nagy</w:t>
            </w:r>
          </w:p>
          <w:p w:rsidR="00DB4822" w:rsidRDefault="00DB4822" w:rsidP="00E11062">
            <w:pPr>
              <w:pStyle w:val="Konzulensek"/>
            </w:pPr>
            <w:r w:rsidRPr="00DB4822">
              <w:t>  research fellow, SE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Dental follicle and periodontal ligament derived stem cells: study on immunophenotype, proliferation, and osteogenic differentiation potential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Our research group has successfully isolated stem cells from periodontal ligament (PDL) since 2008 and from dental follicle (DF) since 2012. Our aim was to provide a comparison for the immunphenotype, proliferation, and in vitro osteogenic differentiation potential for the two stem cell types.</w:t>
      </w:r>
    </w:p>
    <w:p>
      <w:pPr>
        <w:widowControl w:val="on"/>
        <w:pBdr/>
        <w:spacing w:before="240" w:after="240" w:line="240" w:lineRule="auto"/>
        <w:ind w:left="0" w:right="0"/>
        <w:jc w:val="left"/>
      </w:pPr>
      <w:r>
        <w:rPr>
          <w:color w:val="000000"/>
          <w:sz w:val="24"/>
          <w:szCs w:val="24"/>
        </w:rPr>
        <w:t xml:space="preserve">Methods: PDL and DF stem cells were isolated from impacted human wisdom teeth and cultured in αMEM-based medium (10% serum). Cellular morphology was observed by phase contrast microscopy. In the exponential growth phase, population doubling time was determined by Bürker chamber. Expression of the mesenchymal stem cell markers STRO-1, CD90, and CD105, the osteogen markers bone sialoprotein (BSP), and osteonectin (ON), and cytoskeletal proteins (vimentin – mesenchymal, nestin – ectodermal) was studied by immuncytochemistry. The changes, that we observed during the 3-week-long osteogenic differentiation, were followed by immuncytochemistry (STRO-1, ON, BSP, vimentin), and expression of STRO-1 was also quantified. Mineralization nodules were detected by von Kossa staining.</w:t>
      </w:r>
    </w:p>
    <w:p>
      <w:pPr>
        <w:widowControl w:val="on"/>
        <w:pBdr/>
        <w:spacing w:before="240" w:after="240" w:line="240" w:lineRule="auto"/>
        <w:ind w:left="0" w:right="0"/>
        <w:jc w:val="left"/>
      </w:pPr>
      <w:r>
        <w:rPr>
          <w:color w:val="000000"/>
          <w:sz w:val="24"/>
          <w:szCs w:val="24"/>
        </w:rPr>
        <w:t xml:space="preserve">Results: Both PDL and DF cell cultures show fibroblast-like morphology. In case of PDL, the cell body is more elongated and has less processes. PDL and DF cell cultures have similar doubling time of 20 to 30 hours. Both cell cultures are positive for c-kit, CD90, CD105, and nestin. The majority of the undifferentiated cells in both cultures expresses BSP, ON and vimentin proteins. This expression profile remains as such throughout the osteogenic differentiation. At the beginning of the osteogenic differentiation, the proportion of STRO-1 positive cells is around 10% in both PDL and DF cultures. After 14 days, this rate increases significantly to 40% and reaches 60% for the third week in case of DF. Von Kossa staining was strongly positive in both cell cultures after three weeks of osteogenic differentiation.</w:t>
      </w:r>
    </w:p>
    <w:p>
      <w:pPr>
        <w:widowControl w:val="on"/>
        <w:pBdr/>
        <w:spacing w:before="240" w:after="240" w:line="240" w:lineRule="auto"/>
        <w:ind w:left="0" w:right="0"/>
        <w:jc w:val="left"/>
      </w:pPr>
      <w:r>
        <w:rPr>
          <w:color w:val="000000"/>
          <w:sz w:val="24"/>
          <w:szCs w:val="24"/>
        </w:rPr>
        <w:t xml:space="preserve">Conclusions: The phenotype of periodontal ligament and dental follicle stem cells is similar to the phenotype of bone marrow mesenchymal stem cells. However, due to their ectomesenchymal origin, these dental stem cells express not only mesenchymal but also ectodermal markers, such as nestin. Both PDL and DF stem cells are able to differentiate toward osteogenic direction, which is accompanied by increased expression of STRO-1.</w:t>
      </w:r>
    </w:p>
    <w:p>
      <w:pPr>
        <w:widowControl w:val="on"/>
        <w:pBdr/>
        <w:spacing w:before="240" w:after="240" w:line="240" w:lineRule="auto"/>
        <w:ind w:left="0" w:right="0"/>
        <w:jc w:val="left"/>
      </w:pPr>
      <w:r>
        <w:rPr>
          <w:color w:val="000000"/>
          <w:sz w:val="24"/>
          <w:szCs w:val="24"/>
        </w:rPr>
        <w:t xml:space="preserve">Grant support: OTKA–NKTH-CK80928; TÁMOP-4.2.1/B-09/1/KMR-2010-0001; TÁMOP-4.2.2/B-10/1-2010-0013</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77509">
    <w:multiLevelType w:val="hybridMultilevel"/>
    <w:lvl w:ilvl="0" w:tplc="50125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77509">
    <w:abstractNumId w:val="47477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8373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