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 ANNA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ORBÁN KRISTÓF</w:t>
            </w:r>
          </w:p>
          <w:p w:rsidR="00DB4822" w:rsidRDefault="00C275A3" w:rsidP="004D7940">
            <w:pPr>
              <w:pStyle w:val="Hallgatokepzes"/>
            </w:pPr>
            <w:r>
              <w:t>fogorvos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Fogorvostudományi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Windisch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Felszívódó és nem felszívódó membránokkal végzett szimultán horizontovertikális gerincaugmentációt követő korai- és késői szöveti gyógyulási folyamatok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Kérdésfelvetés: Az alveolaris gerincdefektusok implantációval egy időben végzett irányított csontregenerációja (szimultán augmentáció) fokozott terhelést jelent a szervezet számára. Vizsgálatainkban, arra kerestük a választ, hogy a szimultán keményszöveti augmentációt követően a korai sebgyógyulás jellemzői befolyásolják-e a műtétet követően kialakuló keményszövet mennyiségét felszívódó-, ill. nem felszívódó membránok alkalmazása esetén.</w:t>
      </w:r>
      <w:r>
        <w:rPr>
          <w:color w:val="000000"/>
          <w:sz w:val="24"/>
          <w:szCs w:val="24"/>
        </w:rPr>
        <w:br/>
        <w:t xml:space="preserve">Alkalmazott módszerek: 13 páciens implantációt és szimultán keményszövet augmentációt követő korai sebgyógyulását vizsgáltuk két csoportban. Az egyik csoportban Gore Resolut Adapt (RA) felszívódó, a másikban Frios Boneshield (FB) nemfelszívódó membránt alkalmaztunk. A korai sebgyógyulási folyamatok kvantitatív klinikai értékelése az általunk kidolgozott és korábban ismertetett Modified Early Wound Healing Score (MEWHS) segítségével történt. Sebzáráskor, majd 7-10 és 14-17 nappal később regisztáltuk a következő paramétereket: gingivalis erythema, fibrin exsudatum mennyisége, posztoperatív ödéma mértéke, lágyrész folytonosság. A műtéti beavatkozásokat követően 9 hónappal radiológiailag, ill. a reentry során klinikai mérésekkel értékeltük az implantátumfelszíneken végbement keményszöveti változásokat.</w:t>
      </w:r>
      <w:r>
        <w:rPr>
          <w:color w:val="000000"/>
          <w:sz w:val="24"/>
          <w:szCs w:val="24"/>
        </w:rPr>
        <w:br/>
        <w:t xml:space="preserve">Eredmények: A két csoportban eltérő korai sebgyógyulást tapasztaltunk. Az átlagos MEWHS értékek magasabbak voltak az RA csoportban a FB csoporthoz képest minden mérési időben (0. nap: 3,33±0,82 vs. 3±1 NS; 7-10. nap: 4,5±1,22 vs. 3,14±1,86 NS; 14-17. nap: 2,83±1,84 vs. 1,86±1,57 NS). Az összes behelyezett implantátum körül hosszú távú szöveti stabilitáshoz elegendő kemény- és lágyszövet nyereséget sikerült elérni mindkét membrán esetén (RA: 81,83±21,26% vs. FB: 89,14±19,60%, NS). A MEWHS paraméterek szignifikánsan nem korreláltak a keményszöveti nyereséggel.</w:t>
      </w:r>
      <w:r>
        <w:rPr>
          <w:color w:val="000000"/>
          <w:sz w:val="24"/>
          <w:szCs w:val="24"/>
        </w:rPr>
        <w:br/>
        <w:t xml:space="preserve">Következtések: Jelen kísérleti körülmények között úgy tűnik, hogy a korai sebgyógyulás variációja nem befolyásolja a csontnyereség mértékét szimultán augmentáció esetén. Mind a felszívódó, mind a nem felszívódó membránnal klinikailag jó eredményt sikerült elérni a csontnyereség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37121">
    <w:multiLevelType w:val="hybridMultilevel"/>
    <w:lvl w:ilvl="0" w:tplc="77650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37121">
    <w:abstractNumId w:val="68437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975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