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MARTIN</w:t>
            </w:r>
          </w:p>
          <w:p w:rsidR="00C275A3" w:rsidRDefault="00A96AEC" w:rsidP="00C275A3">
            <w:pPr>
              <w:pStyle w:val="Hallgatokepzes"/>
            </w:pPr>
            <w:r>
              <w:t>Dentistry</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KRSTOF ORBAN</w:t>
            </w:r>
          </w:p>
          <w:p w:rsidR="00DB4822" w:rsidRDefault="00C275A3" w:rsidP="004D7940">
            <w:pPr>
              <w:pStyle w:val="Hallgatokepzes"/>
            </w:pPr>
            <w:r>
              <w:t>dentistry</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Dentistry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Windisch</w:t>
            </w:r>
          </w:p>
          <w:p w:rsidR="00DB4822" w:rsidRDefault="00DB4822" w:rsidP="00E11062">
            <w:pPr>
              <w:pStyle w:val="Konzulensek"/>
            </w:pPr>
            <w:r w:rsidRPr="00DB4822">
              <w:t>professor, SE FOK</w:t>
            </w:r>
          </w:p>
        </w:tc>
      </w:tr>
      <w:tr w:rsidR="00DB4822" w:rsidTr="00DB4822">
        <w:tc>
          <w:tcPr>
            <w:tcW w:w="9854" w:type="dxa"/>
          </w:tcPr>
          <w:p w:rsidR="00DB4822" w:rsidRPr="00DB4822" w:rsidRDefault="00DB4822" w:rsidP="004D7940">
            <w:pPr>
              <w:pStyle w:val="Konzulensek"/>
            </w:pPr>
            <w:r w:rsidRPr="00DB4822">
              <w:t>Dr. Balint Molnar</w:t>
            </w:r>
          </w:p>
          <w:p w:rsidR="00DB4822" w:rsidRDefault="00DB4822" w:rsidP="00E11062">
            <w:pPr>
              <w:pStyle w:val="Konzulensek"/>
            </w:pPr>
            <w:r w:rsidRPr="00DB4822">
              <w:t>professor’s assistant,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evaluation of early wound healing events and succes of simultaneous horizontovertical ridge augmentation procedures with resorbable or non-resorbable membranes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Martin Anna FOK V.</w:t>
      </w:r>
      <w:r>
        <w:rPr>
          <w:color w:val="000000"/>
          <w:sz w:val="24"/>
          <w:szCs w:val="24"/>
        </w:rPr>
        <w:br/>
        <w:t xml:space="preserve">Orbán Kristóf FOK V.</w:t>
      </w:r>
    </w:p>
    <w:p>
      <w:pPr>
        <w:widowControl w:val="on"/>
        <w:pBdr/>
        <w:spacing w:before="240" w:after="240" w:line="240" w:lineRule="auto"/>
        <w:ind w:left="0" w:right="0"/>
        <w:jc w:val="left"/>
      </w:pPr>
      <w:r>
        <w:rPr>
          <w:color w:val="000000"/>
          <w:sz w:val="24"/>
          <w:szCs w:val="24"/>
        </w:rPr>
        <w:t xml:space="preserve">Comparative evaluation of early wound healing events and succes of simultaneous horizontovertical ridge augmentation procedures with resorbable or non-resorbable membranes</w:t>
      </w:r>
    </w:p>
    <w:p>
      <w:pPr>
        <w:widowControl w:val="on"/>
        <w:pBdr/>
        <w:spacing w:before="240" w:after="240" w:line="240" w:lineRule="auto"/>
        <w:ind w:left="0" w:right="0"/>
        <w:jc w:val="left"/>
      </w:pPr>
      <w:r>
        <w:rPr>
          <w:color w:val="000000"/>
          <w:sz w:val="24"/>
          <w:szCs w:val="24"/>
        </w:rPr>
        <w:t xml:space="preserve">Windisch, Molnar, Martin, Orban, Gera</w:t>
      </w:r>
      <w:r>
        <w:rPr>
          <w:color w:val="000000"/>
          <w:sz w:val="24"/>
          <w:szCs w:val="24"/>
        </w:rPr>
        <w:br/>
        <w:t xml:space="preserve">Semmelweis University</w:t>
      </w:r>
      <w:r>
        <w:rPr>
          <w:color w:val="000000"/>
          <w:sz w:val="24"/>
          <w:szCs w:val="24"/>
        </w:rPr>
        <w:br/>
        <w:t xml:space="preserve">Department of Periodontology</w:t>
      </w:r>
    </w:p>
    <w:p>
      <w:pPr>
        <w:widowControl w:val="on"/>
        <w:pBdr/>
        <w:spacing w:before="240" w:after="240" w:line="240" w:lineRule="auto"/>
        <w:ind w:left="0" w:right="0"/>
        <w:jc w:val="left"/>
      </w:pPr>
      <w:r>
        <w:rPr>
          <w:color w:val="000000"/>
          <w:sz w:val="24"/>
          <w:szCs w:val="24"/>
        </w:rPr>
        <w:t xml:space="preserve">Aims: The guided bone surgery of the defects of alveolar bone performed simultanous with implant placement causes serious stress for the human body. The aim of our study was to investigate the amount of newly formed hard tissues on the influence of the characteristics of early wound healing - following simultanous horizontovertical ridge augmentation procedures utilising either resorbable, or non-resorbable membranes.</w:t>
      </w:r>
      <w:r>
        <w:rPr>
          <w:color w:val="000000"/>
          <w:sz w:val="24"/>
          <w:szCs w:val="24"/>
        </w:rPr>
        <w:br/>
        <w:t xml:space="preserve">Materials methods: Early wound healing characteristics of 13 patients undergoing implant placement and simultaneous ridge augmentation procedure was evaluated in two treatment groups treated by either a resorbable membrane (Gore Resolut Long Term Adapt), or a non-resorbable membrane (Frios Boneshield). Quantitative evaluation of early wound healing events was performed by the newly introduced Modified Early Wound Healing Score (MEWHS). Following wound healing characteristics were evaluated at baseline, 7-10, 14-17 days postoperatively: gingival erythema, postoperative odema, fibrin exsudate, soft tissue integrity. At 9 months postoperatively, hard tissue changes were detected by radiographical evaluation and direct clinical measurements during reentry.</w:t>
      </w:r>
      <w:r>
        <w:rPr>
          <w:color w:val="000000"/>
          <w:sz w:val="24"/>
          <w:szCs w:val="24"/>
        </w:rPr>
        <w:br/>
        <w:t xml:space="preserve">Results: Different early wound healing characteristics were observed in the two treatment groups. Mean MEWHS values amounted higher in the Resolut group compared to the Boneshield group (Day 0: 3,33±0,82 vs. 3±1 NS; day 7-10: 4,5±1,22 vs. 3,14±1,86 NS; day 14-17: 2,83±1,84 vs. 1,86±1,57 NS). Favorable hard- and soft tissue conditions were established around all inserted implants in the two groups (RA:81,83±21,26% vs. FB:89,14±19,60% NS). The parameters of MEWHS did not correlated with the gain of hard tissue.</w:t>
      </w:r>
      <w:r>
        <w:rPr>
          <w:color w:val="000000"/>
          <w:sz w:val="24"/>
          <w:szCs w:val="24"/>
        </w:rPr>
        <w:br/>
        <w:t xml:space="preserve">Conclusions: In our current study we didn’t find relationship between early wound healing and gain of hard tissue thus result expectation cannot be foreseen.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50976">
    <w:multiLevelType w:val="hybridMultilevel"/>
    <w:lvl w:ilvl="0" w:tplc="42074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50976">
    <w:abstractNumId w:val="69850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549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