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BÉRES NÓRA JUDIT</w:t>
            </w:r>
          </w:p>
          <w:p w:rsidR="00C275A3" w:rsidRDefault="00A96AEC" w:rsidP="00C275A3">
            <w:pPr>
              <w:pStyle w:val="Hallgatokepzes"/>
            </w:pPr>
            <w:r>
              <w:t>általános orvos</w:t>
            </w:r>
            <w:r>
              <w:br/>
            </w:r>
            <w:r w:rsidR="00E77B23">
              <w:t>Osztatlan, 12. félév</w:t>
            </w:r>
          </w:p>
          <w:p w:rsidR="00C265CE" w:rsidRPr="009E5FF1" w:rsidRDefault="00E77B23" w:rsidP="00C275A3">
            <w:pPr>
              <w:pStyle w:val="Hallgatokepzes"/>
              <w:rPr>
                <w:b/>
                <w:caps/>
              </w:rPr>
            </w:pPr>
            <w:r>
              <w:t>Semmelweis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MIKLÓSI PÉTER</w:t>
            </w:r>
          </w:p>
          <w:p w:rsidR="00DB4822" w:rsidRDefault="00C275A3" w:rsidP="004D7940">
            <w:pPr>
              <w:pStyle w:val="Hallgatokepzes"/>
            </w:pPr>
            <w:r>
              <w:t>általános orvos</w:t>
            </w:r>
            <w:r w:rsidR="00A96AEC">
              <w:br/>
              <w:t>Osztatlan, 10. félév</w:t>
            </w:r>
          </w:p>
          <w:p w:rsidR="00DB4822" w:rsidRDefault="00DB4822" w:rsidP="004D7940">
            <w:pPr>
              <w:pStyle w:val="Hallgatointezmeny-kar"/>
            </w:pPr>
            <w:r>
              <w:t>Semmelweis Egyetem</w:t>
            </w:r>
          </w:p>
          <w:p w:rsidR="00C265CE" w:rsidRPr="009E5FF1" w:rsidRDefault="00DB4822" w:rsidP="004D7940">
            <w:pPr>
              <w:pStyle w:val="Hallgatointezmeny-kar"/>
              <w:rPr>
                <w:b/>
                <w:caps/>
              </w:rPr>
            </w:pPr>
            <w:r>
              <w:t>Általános Orvostudományi Kar</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Veres Gábor</w:t>
            </w:r>
          </w:p>
          <w:p w:rsidR="00DB4822" w:rsidRDefault="00DB4822" w:rsidP="00E11062">
            <w:pPr>
              <w:pStyle w:val="Konzulensek"/>
            </w:pPr>
            <w:r w:rsidRPr="00DB4822">
              <w:t>egyetemi docens, SE ÁOK</w:t>
            </w:r>
          </w:p>
        </w:tc>
      </w:tr>
      <w:tr w:rsidR="00DB4822" w:rsidTr="00DB4822">
        <w:tc>
          <w:tcPr>
            <w:tcW w:w="9854" w:type="dxa"/>
          </w:tcPr>
          <w:p w:rsidR="00DB4822" w:rsidRPr="00DB4822" w:rsidRDefault="00DB4822" w:rsidP="004D7940">
            <w:pPr>
              <w:pStyle w:val="Konzulensek"/>
            </w:pPr>
            <w:r w:rsidRPr="00DB4822">
              <w:t>Dr. Szabó Dolóresz</w:t>
            </w:r>
          </w:p>
          <w:p w:rsidR="00DB4822" w:rsidRDefault="00DB4822" w:rsidP="00E11062">
            <w:pPr>
              <w:pStyle w:val="Konzulensek"/>
            </w:pPr>
            <w:r w:rsidRPr="00DB4822">
              <w:t>tudományos munkatárs,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Szérum infliximab és infliximab elleni antitestek szimultán mérésnek eredményei terápia rezisztens Crohn-beteg gyermekekben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Bevezetés: A Crohn-betegség ismeretlen etiológiájú krónikus bélbetegség, melynek kezelésében a TNF-alfa gátló infliximabnak (IFX) jelentős szerepe van. Sajnos a kezelés hosszú távú folyamatában hatásvesztés következik be (évente kb. 10%-os csökkenés), melyben a nem megfelelő szérumszintnek és az IFX ellenes antitestnek (ATI) kulcsszerepet tulajdonítanak. Az ATI detektálására elterjedt metodika a kettős-antigén ELISA módszere, azonban ezen eljárás során az IFX zavarhatja az ATI mérését. Az új típusú „Homogeneous Mobility Shift Assay” (HMSA) használatával az interferencia mértéke csökkenthető, továbbá lehetőséget nyújt az IFX és ATI szint párhuzamos mérésére.</w:t>
      </w:r>
      <w:r>
        <w:rPr>
          <w:color w:val="000000"/>
          <w:sz w:val="24"/>
          <w:szCs w:val="24"/>
        </w:rPr>
        <w:br/>
        <w:t xml:space="preserve">Vizsgálatunk célja volt, hogy meghatározzuk az IFX és az ATI szérumszintjét IFX kezelés alatt álló Crohn-beteg gyermekekben, illetve ezeknek a paramétereknek az összefüggését a kezelésre adott klinikai válasszal.</w:t>
      </w:r>
      <w:r>
        <w:rPr>
          <w:color w:val="000000"/>
          <w:sz w:val="24"/>
          <w:szCs w:val="24"/>
        </w:rPr>
        <w:br/>
        <w:t xml:space="preserve">Betegek és módszer: A vizsgálatban 71 beteg (életkor 7-21 év) 230 szérummintáját dolgoztuk fel (I. csoport) az új HMSA módszerrel, és vetettük össze a betegek klinikai állapotával, melyre a betegséget jellemző aktivitási indexet (PCDAI) és szérum CRP értéket használtuk fel. Továbbá a 71 betegből 31-nél átlagosan 6 szérumminta állt rendelkezésünkre a kezelések idejének megfelelően (II. csoport), mely lehetőséget adott a kezelés alatti IFX és ATI szint követésére.</w:t>
      </w:r>
      <w:r>
        <w:rPr>
          <w:color w:val="000000"/>
          <w:sz w:val="24"/>
          <w:szCs w:val="24"/>
        </w:rPr>
        <w:br/>
        <w:t xml:space="preserve">Eredmények: A betegek 29,6%-ban (21/71 gyermek) és a szérumok 20,4%-ban (47/230 szérumminta) detektáltunk ATI pozitivitást. A II. csoportban 8 betegnél jelent meg ATI a szérumban. Ezen ATI pozitív esetekben az IFX szérumszint medián értéke 0 µg/ml volt, míg az ATI negatív betegeknél az IFX medián 2,55 µg/ml volt. Az ATI negatív szérumminták 45%-ában volt az IFX szint &gt;3 μg/ml. A II. csoportban végzett lineáris regresszió analízis eredménye szerint azoknál a betegeknél, akiknél az IFX szérumszint 3 μg/ml-nél nagyobb volt, az esetek 88%-ában a CRP értékben csökkenést láttunk.</w:t>
      </w:r>
      <w:r>
        <w:rPr>
          <w:color w:val="000000"/>
          <w:sz w:val="24"/>
          <w:szCs w:val="24"/>
        </w:rPr>
        <w:br/>
        <w:t xml:space="preserve">Következtetés: Pozitív ATI betegeknél alacsonyabb IFX szérumszinteket és emelkedett CRP szintet detektáltunk. Az ATI és IFX szérumszint monitorozása fontos a Crohn-betegek optimális kezelési stratégiájának megválasztásához.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672162">
    <w:multiLevelType w:val="hybridMultilevel"/>
    <w:lvl w:ilvl="0" w:tplc="326408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672162">
    <w:abstractNumId w:val="506721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23418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