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JUDIT BÉRES</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PÉTER MIKLÓSI</w:t>
            </w:r>
          </w:p>
          <w:p w:rsidR="00DB4822" w:rsidRDefault="00C275A3" w:rsidP="004D7940">
            <w:pPr>
              <w:pStyle w:val="Hallgatokepzes"/>
            </w:pPr>
            <w:r>
              <w:t>faculty of 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Veres</w:t>
            </w:r>
          </w:p>
          <w:p w:rsidR="00DB4822" w:rsidRDefault="00DB4822" w:rsidP="00E11062">
            <w:pPr>
              <w:pStyle w:val="Konzulensek"/>
            </w:pPr>
            <w:r w:rsidRPr="00DB4822">
              <w:t>MD, PhD,   associate professor, SE ÁOK</w:t>
            </w:r>
          </w:p>
        </w:tc>
      </w:tr>
      <w:tr w:rsidR="00DB4822" w:rsidTr="00DB4822">
        <w:tc>
          <w:tcPr>
            <w:tcW w:w="9854" w:type="dxa"/>
          </w:tcPr>
          <w:p w:rsidR="00DB4822" w:rsidRPr="00DB4822" w:rsidRDefault="00DB4822" w:rsidP="004D7940">
            <w:pPr>
              <w:pStyle w:val="Konzulensek"/>
            </w:pPr>
            <w:r w:rsidRPr="00DB4822">
              <w:t>Dolóresz Szabó</w:t>
            </w:r>
          </w:p>
          <w:p w:rsidR="00DB4822" w:rsidRDefault="00DB4822" w:rsidP="00E11062">
            <w:pPr>
              <w:pStyle w:val="Konzulensek"/>
            </w:pPr>
            <w:r w:rsidRPr="00DB4822">
              <w:t>MD, PhD, 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Simultaneous analyzis of serum infliximab and anti-infliximab antibody levels in therapy resistant pediatric patients with Crohn’s disease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Crohn’s disease (CD) is a chronic intestinal disorder with unknown etiology. The anti-TNF-alfa infliximab (IFX) therapy plays a significant role in its treatment. Unfortunately, the process of the long-term treatment reduces the efficacy (ca. reduction of 10% per year), in which the inadequate serum levels and anti-infliximab antibodies (ATI) are thought to play a key role. The current method for detection of ATI is a double-antigen ELISA, however in this assay, serum IFX interferes with ATI during the measurement. The rate of the interference can be reduced with the use of the new fluid phase Homogeneous Mobility Shift Assay (HMSA) which allows the parallel measurement of IFX and ATI levels.</w:t>
      </w:r>
      <w:r>
        <w:rPr>
          <w:color w:val="000000"/>
          <w:sz w:val="24"/>
          <w:szCs w:val="24"/>
        </w:rPr>
        <w:br/>
        <w:t xml:space="preserve">Our aim was to determine the serum levels of IFX and ATI in IFX treated children with CD and to examine correlation between these parameters and clinical response.</w:t>
      </w:r>
      <w:r>
        <w:rPr>
          <w:color w:val="000000"/>
          <w:sz w:val="24"/>
          <w:szCs w:val="24"/>
        </w:rPr>
        <w:br/>
        <w:t xml:space="preserve">Study population and methods: IFX and ATI were measured in 230 serum samples from 71 CD patients (age 7-21)(Group I) using the new method (HMSA) and compared them to the clinical status of the patients, which is characterized by the Pediatric Crohn’s Disease Activity Index (PCDAI) and the serum CRP levels. Furthermore, 31 of the 71 patients, an average of 6 samples were available during the length of the treatment (Group II), which gave the opportunity of the follow-up of ATI and IFX levels.</w:t>
      </w:r>
      <w:r>
        <w:rPr>
          <w:color w:val="000000"/>
          <w:sz w:val="24"/>
          <w:szCs w:val="24"/>
        </w:rPr>
        <w:br/>
        <w:t xml:space="preserve">Results: ATI were positively detected in 29.6% (21/71) of patients with CD and in 20.4% (47/230) of serum samples. At the Group II, ATI appeared in the serum of 8 patients. In these ATI positive cases the IFX median value was 0 µg/ml, while at the serum ATI negative patients median value was 2.55 µg/ml. At the 45% of the ATI negative serum samples the IFX levels were &gt;3 μg/ml. At Group II linear regression analysis was performed, which showed reduction in CRP value at 88% of the cases whose serum IFX levels were more than 3 μg/ml.</w:t>
      </w:r>
      <w:r>
        <w:rPr>
          <w:color w:val="000000"/>
          <w:sz w:val="24"/>
          <w:szCs w:val="24"/>
        </w:rPr>
        <w:br/>
        <w:t xml:space="preserve">Conclusion: Lower IFX and higher CRP levels were measured in ATI positive CD patients. Monitoring IFX and ATI may improve therapeutic decisions.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06213">
    <w:multiLevelType w:val="hybridMultilevel"/>
    <w:lvl w:ilvl="0" w:tplc="30094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06213">
    <w:abstractNumId w:val="315062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9729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