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ORSOLYA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Kriván Gergely</w:t>
            </w:r>
          </w:p>
          <w:p w:rsidR="00DB4822" w:rsidRDefault="00DB4822" w:rsidP="00E11062">
            <w:pPr>
              <w:pStyle w:val="Konzulensek"/>
            </w:pPr>
            <w:r w:rsidRPr="00DB4822">
              <w:t>osztályvezető főorvos,  Egyesített Szent István és Szent László Kórház Gyermekhematológiai és Őssejt-transzplantációs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Vérképző őssejt-átültetés gyermekkori súlyos aplasztikus anaemiában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gyermekkori súlyos aplasztikus anaemia (SAA) első vonalbeli kezelése a HLA-identikus testvérdonorral végzett vérképző őssejt-átültetés. Az alkalmas családi donor hiányában végzett immunszuppresszív kezelés eredménytelensége esetén kompatibilis idegen donoros (MUD) transzplantáció indokolt.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az elmúlt 20 évben SAA miatt vérképző őssejt-átültetésen átesett gyermekek transzplantációs eredményeinek, túlélésének és a kezelés szövődményeinek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1992 és 2012 közötti időszakban 27 betegnél összesen 34 transzplantáció történt. 6 gyermeknél 7 esetben retranszplantációra volt szükség (1 paroxizmális nocturnális hemoglobinuria, 2 rejekció, 1 graftgyengeség, 2 megtapadás hiánya). A betegcsoport átlagéletkora 9,3±4,3 év, a fiúk/lányok aránya 15/12. A transzplantációt 23 esetben testvér, 8 esetben MUD és 3 esetben haploidentikus donorral végezték. 8 gyermek részesült megelőző immunszuppresszív kezelésben. A diagnózis és a transzplantáció között eltelt idő testvérdonor esetén medián 42 nap (8-361), MUD esetén 333 nap (90-845); p=0,0005. A beavatkozás előtt a betegek medián 5 egység (0-41) vörösvérsejt és 46 egység (8-572) vérlemezke koncentrátumot kaptak. Az előkészítő kezelésként az esetek többségében (18) anti-thymocyta globulint és cyclophosphamidot, a graft versus host betegség (GVHD) profilaxisaként elsősorban (23) cyclosporint és methotrexatot alkalmaztak. A graft forrása 23 esetben csontvelő, 10 esetben perifériás vér és 1 esetben köldökvér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graft 29/34 esetben 22,2±5,3 nap múlva megtapadt (ANC &gt;0,5 G/l). Akut GVHD 11/27 esetben alakult ki (stádium III-IV:2). 7 gyermek exitált a medián 8,7 év (2,3-20,3 év) követési idő alatt. 3 esetben infekció: Candida, aspergillosis és cytomegalovírus, 1 esetben akut GVHD, 2 esetben a krónikus GVHD szövődménye, 1 esetben pedig poszt-transzplantációs lymphoproliferatív betegség agyi infiltrációja volt a halálok. Az exitált betegeknél nagyobb arányban alakult ki akut (6/7 vs. 5/20; p=0,02) és krónikus (5/5 vs. 4/20) GVHD, mint a követési időnk alatt túlélőknél. Az összesített túlélés 74 %, testvérdonor esetén 89,5 %, idegen donorral 37,5 %; p=0,01.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beavatkozások eredménye megfelel a nemzetközi adatoknak. Az elsődleges terápiaként őssejt-átültetésen átesett gyermekek eredményei igen kedvezőek. A MUD túlélése kedvezőtlenebb, melynek hátterében az akut és krónikus GVHD és az infekciók állhatnak.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053281">
    <w:multiLevelType w:val="hybridMultilevel"/>
    <w:lvl w:ilvl="0" w:tplc="53102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053281">
    <w:abstractNumId w:val="970532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49321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