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HORVÁTH</w:t>
            </w:r>
          </w:p>
          <w:p w:rsidR="00C275A3" w:rsidRDefault="00A96AEC" w:rsidP="00C275A3">
            <w:pPr>
              <w:pStyle w:val="Hallgatokepzes"/>
            </w:pPr>
            <w:r>
              <w:t>general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Kriván MD</w:t>
            </w:r>
          </w:p>
          <w:p w:rsidR="00DB4822" w:rsidRDefault="00DB4822" w:rsidP="00E11062">
            <w:pPr>
              <w:pStyle w:val="Konzulensek"/>
            </w:pPr>
            <w:r w:rsidRPr="00DB4822">
              <w:t>head physician, Ph.D.,  St. László Hospital, Hematology and Stem Cell Transplantation Center for Children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Haematopoietic stem cell transplantation in children with severe aplastic anaemia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 matched sibling donor (MSD) haematopoietic stem cell transplantation (HSCT) is the treatment of choice for children with severe aplastic anaemia (SAA). If a MSD is not available, the options include immunosuppressiv therapy (IST) or matched unrelated donor (MUD) HSCT.</w:t>
      </w:r>
    </w:p>
    <w:p>
      <w:pPr>
        <w:widowControl w:val="on"/>
        <w:pBdr/>
        <w:spacing w:before="240" w:after="240" w:line="240" w:lineRule="auto"/>
        <w:ind w:left="0" w:right="0"/>
        <w:jc w:val="left"/>
      </w:pPr>
      <w:r>
        <w:rPr>
          <w:color w:val="000000"/>
          <w:sz w:val="24"/>
          <w:szCs w:val="24"/>
        </w:rPr>
        <w:t xml:space="preserve">Aim of study: to evaluate the outcome and complications of the treatment in children with SAA treated with MSD or MUD HSCT in St László Hospital, Budapest.</w:t>
      </w:r>
    </w:p>
    <w:p>
      <w:pPr>
        <w:widowControl w:val="on"/>
        <w:pBdr/>
        <w:spacing w:before="240" w:after="240" w:line="240" w:lineRule="auto"/>
        <w:ind w:left="0" w:right="0"/>
        <w:jc w:val="left"/>
      </w:pPr>
      <w:r>
        <w:rPr>
          <w:color w:val="000000"/>
          <w:sz w:val="24"/>
          <w:szCs w:val="24"/>
        </w:rPr>
        <w:t xml:space="preserve">Methods: We retrospectively reviewed the hospital records of children with SAA. From 1992 to 2012 34 HSCT were made in 27 patients (age 9,3±4,3 years). In 7 cases for 6 patients a retransplantation was made (1 paroxismal nocturnal haemoglobinuria, 2 graft rejection, 2 graft failure and 2 lack of engraftment). In 23 cases MSD, in 8 cases MUD and in 3 cases haploidentical donors were used. 8 patients recieved IST before HSCT. Between the diagnosis of HSCT and MSD HSCT median 42 days (8-361) and between MSD HSCT median 333 days (90-845) were spent; p=0,0005. The patients recieved median 5 unit (0-41) red blood cell and median 46 unit (8-572) platelet transfusion before HSCT. The conditioning regimen was anti-thymocyta globulin and cyclophosphamid (18 cases). Methotrexat and cyclosporine were used as graft versus host disease (GVHD) prophylaxis. The graft was in 23 cases bone marrow, in 10 cases peripherial blood and in 1 case cord blood.</w:t>
      </w:r>
    </w:p>
    <w:p>
      <w:pPr>
        <w:widowControl w:val="on"/>
        <w:pBdr/>
        <w:spacing w:before="240" w:after="240" w:line="240" w:lineRule="auto"/>
        <w:ind w:left="0" w:right="0"/>
        <w:jc w:val="left"/>
      </w:pPr>
      <w:r>
        <w:rPr>
          <w:color w:val="000000"/>
          <w:sz w:val="24"/>
          <w:szCs w:val="24"/>
        </w:rPr>
        <w:t xml:space="preserve">Results: Patients engrafted in 27/34 cases after 22,2±5,3 days (ANC &gt;0,5 G/l). 11/27 patients developed acute and 9/25 patients chronic GVHD. Median follow-up time was 8,7 years (2,3-20,3 years). 7 patiens died, out of which 3 died of infections (Candida, Aspergillus, cytomegalovirus), one died of acute GVHD, 2 died of complication of chronic GVHD and one died of post- transplantation lymphoprolipheratic disease. The incidence of acute (6/7 vs. 5/20; p=0,02) and chronic (5/5 vs. 4/20) GVHD was higher in patiens who died after transplantation, than who are alive. The overall survival is 74% after median 8,7 follow-up time, higher after MSD (89,5%), than after MUD HSCT, p=0,01.</w:t>
      </w:r>
    </w:p>
    <w:p>
      <w:pPr>
        <w:widowControl w:val="on"/>
        <w:pBdr/>
        <w:spacing w:before="240" w:after="240" w:line="240" w:lineRule="auto"/>
        <w:ind w:left="0" w:right="0"/>
        <w:jc w:val="left"/>
      </w:pPr>
      <w:r>
        <w:rPr>
          <w:color w:val="000000"/>
          <w:sz w:val="24"/>
          <w:szCs w:val="24"/>
        </w:rPr>
        <w:t xml:space="preserve">Conclusion: The results of our study suggest that MSD HSCT in children with SAA offers an excellent outcome in Hungary, too. The results after MUD HSCT are poorer, the occurence of acute and choronic GVHD and the infections can influence the outcome.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45615">
    <w:multiLevelType w:val="hybridMultilevel"/>
    <w:lvl w:ilvl="0" w:tplc="49403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45615">
    <w:abstractNumId w:val="936456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611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