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SZÁSZ</w:t>
            </w:r>
          </w:p>
          <w:p w:rsidR="00C275A3" w:rsidRDefault="00A96AEC" w:rsidP="00C275A3">
            <w:pPr>
              <w:pStyle w:val="Hallgatokepzes"/>
            </w:pPr>
            <w:r>
              <w:t>general medicine </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Constantin, MD, PhD</w:t>
            </w:r>
          </w:p>
          <w:p w:rsidR="00DB4822" w:rsidRDefault="00DB4822" w:rsidP="00E11062">
            <w:pPr>
              <w:pStyle w:val="Konzulensek"/>
            </w:pPr>
            <w:r w:rsidRPr="00DB4822">
              <w:t>assistant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autoantibody anti-RA33 in juvenile idiopathic arthritis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Juvenile idiopathic arthritis (JIA) is an exclusion diagnosis that encompasses all forms of arthritis that begin before the age of 16 years, persist for more than 6 weeks, and are of unknown origin. JIA is not only the most common pediatric rheumatologic disease, but also one of the most common chronic disease of childhood. There was investigated a whole range of autoantibodies, but none were specific and sensitive enough. Autoantibody RA33 provides valuable information in rheumatoid arthritis but very little information is available in terms of JIA. The aim of this study was to examine the diagnostic and prognostic value of anti-RA33 through its prevalence and relation to clinical and laboratory parameters.</w:t>
      </w:r>
      <w:r>
        <w:rPr>
          <w:color w:val="000000"/>
          <w:sz w:val="24"/>
          <w:szCs w:val="24"/>
        </w:rPr>
        <w:br/>
        <w:t xml:space="preserve">Methods: 70 randomly chosen patients’ serum level of anti-RA33 antibody of IgG type were measured quantitatively by ELISA (Regional Immunological Laboratory, 3rd Department of Internal Medicine, University of Debrecen). Our cut-off value was set to 5 U/ml based on the healthy control group (mean+5 SD, n=20). The prevalence of anti-RA33 and associations between the autoantibody positivity and the subtype of JIA, sex, duration of illness, antinuclear antibodies (ANA), rheumatoid factor (RF), erythrocyte sedimentation rate (ESR), C-reactive protein (CRP), disease activity were evaluated. ESR and level of CRP were measured two times: first at the time of diagnosis and then when the levels of anti-RA33 were assessed. Our statistical methods were χ² test and Fisher's exact test.</w:t>
      </w:r>
      <w:r>
        <w:rPr>
          <w:color w:val="000000"/>
          <w:sz w:val="24"/>
          <w:szCs w:val="24"/>
        </w:rPr>
        <w:br/>
        <w:t xml:space="preserve">Results: A total of 67.1% of the patients were positive for anti-RA33. In the systemic and polyarticular subtypes the prevalence was 88 and 89%, while in the other subtypes it was about 60%. Anti-RA33 values were correlated to clinical and laboratory activity. All the patients with RF positivity were positive for anti-RA33 (p=0.049), and patients with higher level of ESR and CRP were found to have significant association with anti-RA33 antibody positivity (p=0.022, p=0.003). Furthermore with higher level of CRP (&gt;10 mg/l) there was measured specifically high serum anti-RA33 (&gt;25 U/ml, p=0.006, p=0.009). There was a similar tendency with ANA, presence of synovitis and functional impairment.</w:t>
      </w:r>
      <w:r>
        <w:rPr>
          <w:color w:val="000000"/>
          <w:sz w:val="24"/>
          <w:szCs w:val="24"/>
        </w:rPr>
        <w:br/>
        <w:t xml:space="preserve">Conclusion: The levels of anti-RA33 antibody are correlated to disease activity and certain subtypes so it may create prognostic and diagnostic possibilities and can be a guide for appropriate therapy.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292702">
    <w:multiLevelType w:val="hybridMultilevel"/>
    <w:lvl w:ilvl="0" w:tplc="132465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292702">
    <w:abstractNumId w:val="162927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2134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