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DOBI MARIANNA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Ágnes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mannóz-kötő lektin szerepe gyermekkori hemato-onkológiai kórképek fertőzéses szövődményeiben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komplement rendszer megfelelő működése fontos szerepet játszik a fertőzés elleni védelemben a hemato-onkológiai betegségben szenvedő gyerekekben. Ennek oka egyrészt a csontvelői malignus folyamat okozta neutropénia, másrészt a kemoterápia indukálta immunszuppresszió. A komplement lektin út egyik legfontosabb lépése, a mannóz-kötő lektin (MBL) és az MBL asszociált szerinproteáz (MASP2) komplexének megfelelő aktiválódása, amelynek egyik limitáló tényezője az MBL szérumszintje.</w:t>
      </w:r>
      <w:r>
        <w:rPr>
          <w:color w:val="000000"/>
          <w:sz w:val="24"/>
          <w:szCs w:val="24"/>
        </w:rPr>
        <w:br/>
        <w:t xml:space="preserve">Célul tűztük ki az MBL deficienciáját okozó polimorfizmusok és az MBL-MASP2 komplex aktiválhatóságának vizsgálatát haemato-onkológiai betegségben szenvedő gyermekek körében, valamint elemeztük ezek kapcsolatát a lázas neutropénia előfordulásával.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Korábbi vizsgálatunkat folytatva 97 myeloablatív kemoterápiával kezelt malignus csontvelői betegségben (76 ALL, 10 AML, 11 NHL) szenvedő gyermeket vontunk be és a terápia kezdetét követő 8 hónapban regisztráltuk a lázas periódusok megjelenését. A genetikai vizsgálatokhoz kisózásos technikával DNS-t izoláltunk és allél-diszkriminációval genotipizáltuk az MBL három polimorfizmusát (R52C, G54D, G57E). Az MBL-MASP2 komplex aktiválhatóságát diagnóziskori és fertőzés idején vett mintákban vizsgáltuk ELISA technikával. A statisztikai elemzéseket SPSS programmal végeztük.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követési időszak alatt 6 beteg exitált, így 97 beteg adatait elemeztük. A lázas epizódok száma alacsonyabb, az első lázas neutropéniás napig eltelt idő hosszabb volt (p&lt;0,01) a normál MBL szintet kódoló vad genotípussal rendelkező betegek körében, mint a variáns allélt hordozók között. A Kaplan-Meier analízis eredménye értelmében a vad genotípussal rendelkezőknek nagyobb az esélye hosszan tartó fertőzésmentes időszakra (p=0,01).</w:t>
      </w:r>
      <w:r>
        <w:rPr>
          <w:color w:val="000000"/>
          <w:sz w:val="24"/>
          <w:szCs w:val="24"/>
        </w:rPr>
        <w:br/>
        <w:t xml:space="preserve">Az MBL-MASP2 komplex aktiválhatósága a vártnak megfelelően összefüggött a genotípusokkal és a fertőzés alatt mért érték szignifikánsan alacsonyabb volt a diagnóziskorinál (p=0,004).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Eredményeink alapján összefüggés van az MBL szintjét befolyásoló polimorfizmusok és az immunszuppressziós kezeléshez társult infekciók előfordulása között malignus csontvelői betegek körében. Az MBL-MASP2 komplex aktiválhatóságának változása megerősíti a lektin út aktivitásának fontos szerepét a fertőzésekben. Munkánk jelentősége lehet a genotípus által meghatározott egyénre szabott szubsztitúciós terápia megvalósulása.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45183">
    <w:multiLevelType w:val="hybridMultilevel"/>
    <w:lvl w:ilvl="0" w:tplc="20625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45183">
    <w:abstractNumId w:val="79745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000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