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MARIANNA DOBI</w:t>
            </w:r>
          </w:p>
          <w:p w:rsidR="00C275A3" w:rsidRDefault="00A96AEC" w:rsidP="00C275A3">
            <w:pPr>
              <w:pStyle w:val="Hallgatokepzes"/>
            </w:pPr>
            <w:r>
              <w:t>Faculty of medicine</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Kovács MD PhD</w:t>
            </w:r>
          </w:p>
          <w:p w:rsidR="00DB4822" w:rsidRDefault="00DB4822" w:rsidP="00E11062">
            <w:pPr>
              <w:pStyle w:val="Konzulensek"/>
            </w:pPr>
            <w:r w:rsidRPr="00DB4822">
              <w:t>associate professor, SE ÁOK</w:t>
            </w:r>
          </w:p>
        </w:tc>
      </w:tr>
      <w:tr w:rsidR="00DB4822" w:rsidTr="00DB4822">
        <w:tc>
          <w:tcPr>
            <w:tcW w:w="9854" w:type="dxa"/>
          </w:tcPr>
          <w:p w:rsidR="00DB4822" w:rsidRPr="00DB4822" w:rsidRDefault="00DB4822" w:rsidP="004D7940">
            <w:pPr>
              <w:pStyle w:val="Konzulensek"/>
            </w:pPr>
            <w:r w:rsidRPr="00DB4822">
              <w:t>Szilágyi Ágens PhD</w:t>
            </w:r>
          </w:p>
          <w:p w:rsidR="00DB4822" w:rsidRDefault="00DB4822" w:rsidP="00E11062">
            <w:pPr>
              <w:pStyle w:val="Konzulensek"/>
            </w:pPr>
            <w:r w:rsidRPr="00DB4822">
              <w:t>research fellow,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mannose binding lectin in infectious complications of hemato-oncologic diseases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The appropriate function of the complement system is essential for protection against infections in oncologic patients; partly because of the developing neutropenia due to the malignant disease and partly because of the chemotherapy induced immunosuppression. The key element in the activation of the complement system via the lectin pathway is the appropriate function of the mannose-binding lectin (MBL) and mannose-binding lectin-associated serine protease 2 (MASP2) complex. One of the limiting factors of this activation may be the low serum concentration of MBL.</w:t>
      </w:r>
      <w:r>
        <w:rPr>
          <w:color w:val="000000"/>
          <w:sz w:val="24"/>
          <w:szCs w:val="24"/>
        </w:rPr>
        <w:br/>
        <w:t xml:space="preserve">The aim of our study was to find association between polymorphisms resulting in low MBL level and activation of the MBL-MASP2 complex, and find the connection between these abnormalities and the frequency and severity of febrile neutropenic episodes in children suffering from hemato-oncological diseases.</w:t>
      </w:r>
      <w:r>
        <w:rPr>
          <w:color w:val="000000"/>
          <w:sz w:val="24"/>
          <w:szCs w:val="24"/>
        </w:rPr>
        <w:br/>
        <w:t xml:space="preserve">Methods</w:t>
      </w:r>
      <w:r>
        <w:rPr>
          <w:color w:val="000000"/>
          <w:sz w:val="24"/>
          <w:szCs w:val="24"/>
        </w:rPr>
        <w:br/>
        <w:t xml:space="preserve">We followed 97 children with hemato-oncological diseases (76 ALL, 10 AML, 11 NHL) from the beginning of the therapy for 8 months and recorded the characteristics of febrile neutropenic. We isolated DNA by the salting out procedure and determined the genotypes of 3 MBL polymorphisms ( R52C, G54D, G57E) by real-time PCR. The MBL-MASP2 complex activation was evaluated with ELISA technique from samples obtained at the time of diagnosis and during an infection. For statistical analysis the SPSS program was used.</w:t>
      </w:r>
      <w:r>
        <w:rPr>
          <w:color w:val="000000"/>
          <w:sz w:val="24"/>
          <w:szCs w:val="24"/>
        </w:rPr>
        <w:br/>
        <w:t xml:space="preserve">Results</w:t>
      </w:r>
      <w:r>
        <w:rPr>
          <w:color w:val="000000"/>
          <w:sz w:val="24"/>
          <w:szCs w:val="24"/>
        </w:rPr>
        <w:br/>
        <w:t xml:space="preserve">Six patients died during the follow-up period, thus we analyzed the data of 91 patients. The numbers of febrile neutropenic episodes were lower and the time until the first episode was longer in patients with normal MBL level coding genotypes, than in patients with low MBL level coding genotypes (p&lt;0.01). According to the Kaplan-Meier analysis, patients with wild type genotypes have higher chance for a longer period without a febrile neutropenic episode (p=0.01). We found correlation between the MBL-MASP2 complex activation and the genotype, moreover activation level lowered significantly during infections (p=0.004).</w:t>
      </w:r>
      <w:r>
        <w:rPr>
          <w:color w:val="000000"/>
          <w:sz w:val="24"/>
          <w:szCs w:val="24"/>
        </w:rPr>
        <w:br/>
        <w:t xml:space="preserve">Conclusion</w:t>
      </w:r>
      <w:r>
        <w:rPr>
          <w:color w:val="000000"/>
          <w:sz w:val="24"/>
          <w:szCs w:val="24"/>
        </w:rPr>
        <w:br/>
        <w:t xml:space="preserve">Our results suggest that infections after immunosuppression therapy in children suffering from hemato-oncological diseases are associated with the MBL genotype. Changes of MBL-MASP2 activation confirm the important role of the lectin pathway in infections. Our results may contribute to the estimation of risk for infections in the future, that may modify therapeutic options for individuals.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878919">
    <w:multiLevelType w:val="hybridMultilevel"/>
    <w:lvl w:ilvl="0" w:tplc="561131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878919">
    <w:abstractNumId w:val="368789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61350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