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TROJNÁR ESZTER</w:t>
            </w:r>
          </w:p>
          <w:p w:rsidR="00C275A3" w:rsidRDefault="00A96AEC" w:rsidP="00C275A3">
            <w:pPr>
              <w:pStyle w:val="Hallgatokepzes"/>
            </w:pPr>
            <w:r>
              <w:t>orvos</w:t>
            </w:r>
            <w:r>
              <w:br/>
            </w:r>
            <w:r w:rsidR="00E77B23">
              <w:t>Osztatlan,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Prohászka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komplement H faktor elleni autoantitestek B-sejt epitóp analízise gyermekkori autoimmun hemolitikus urémiás szindrómában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gyermekkori akut veseelégtelenség leggyakoribb oka a hemolitikus urémiás szindróma (HUS), melynek ritka formája az elsősorban iskoláskorú gyermekeket érintő, autoimmun mechanizmussal kialakuló, anti-HF autoantitest mediált atípusos HUS (aHUS). Nem ismert azonban, hogy az ebben a formában patogenetikai szerepet játszó anti-H faktor autoantitestek milyen mechanizmussal keletkeznek, és milyen lépéseken keresztül eredményezik a komplement alternatív reakcióút kontrollálatlan aktivációját. Az autoantitestek működésének megértéséhez lényeges adatokat szolgáltatna epitóp-specificitásuk feltárása, ezért célkitűzésünk az anti-HF autoantitestek epitóp térképezése volt.</w:t>
      </w:r>
      <w:r>
        <w:rPr>
          <w:color w:val="000000"/>
          <w:sz w:val="24"/>
          <w:szCs w:val="24"/>
        </w:rPr>
        <w:br/>
        <w:t xml:space="preserve">Betegek és módszerek: Vizsgálatainkat 5, anti-HF IgG pozitív aHUS beteg első epizódjában levett szérumainak elemzésével végeztük, kontrollként egészséges gyermekek mintája és kevert immunglobulin (IVIG) szolgált. A H faktor 19. és 20. CCP (complement control protein) domének és a CFHR1 fehérjék homológ szekvenciáinak megfelelő, 15 aminosav hosszú, 5 aminosavanként átfedő peptidsorozatot szilárd fázisú, polietilén tűhegyen zajló szintézissel hoztuk létre. Az egyes peptidekkel reagáló autoantitestek mennyiségét módosított ELISA technikával mértük a betegek szérumaiban. Potenciális epitópként azokat a régiókat azonosítottuk, ahol egymás melletti peptidek esetén 50%-ot meghaladó reaktivitás-fokozódást észleltünk a háttér reaktivitáshoz képest.</w:t>
      </w:r>
      <w:r>
        <w:rPr>
          <w:color w:val="000000"/>
          <w:sz w:val="24"/>
          <w:szCs w:val="24"/>
        </w:rPr>
        <w:br/>
        <w:t xml:space="preserve">Eredmények: A kontroll mintákban (mind egészséges gyermekek, mind IVIG esetén) 3 régióban (AA1142-1156, AA1182-1193 és AA1193-1216) észleltünk reaktivitás fokozódást. A jelölt régiókban jelentősen megemelkedett antitest kötődést tapasztaltunk a betegek mintáiban, és két további, a kontrollokban nem észlelt pozícióban (AA1157-1171, 4/5 betegben; AA1107-1121, 2/5 betegben). Az AA1182-1193 szekvenciának megfelelő régióban a CFHR1 fehérjén is észleltünk antitest kötődést.</w:t>
      </w:r>
      <w:r>
        <w:rPr>
          <w:color w:val="000000"/>
          <w:sz w:val="24"/>
          <w:szCs w:val="24"/>
        </w:rPr>
        <w:br/>
        <w:t xml:space="preserve">Következtetések:</w:t>
      </w:r>
      <w:r>
        <w:rPr>
          <w:color w:val="000000"/>
          <w:sz w:val="24"/>
          <w:szCs w:val="24"/>
        </w:rPr>
        <w:br/>
        <w:t xml:space="preserve">Eredményeink egybecsengenek az irodalomban frissen közölt tanulmánnyal, amelyben a H faktor több régiójához is kötődő anti-HF autoantitesteket mutattak ki egészséges kontrollokban. Elsőként azonosítottunk azonban aHUS betegekben a 19-es és 20-as CCP doménekre lokalizálódó specifikus epitópokat, melyek szerkezetének, előfordulásának további analízise támpontot szolgáltathat az autoantitestek keletkezési mechanizmusának feltárásához, vagy további diagnosztikai fejlesztésekhez.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064755">
    <w:multiLevelType w:val="hybridMultilevel"/>
    <w:lvl w:ilvl="0" w:tplc="450325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064755">
    <w:abstractNumId w:val="610647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50122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