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TROJNÁR</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Prohászka</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 cell epitope analysis of complement factor H autoantibodies in patients with autoimmune hemolytic uremic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One of the most common factors evoking acute renal failure in children is hemolytic uremic syndrome (HUS). In rare cases atypical, complement mediated HUS (aHUS) may evolve through an autoimmune mechanism and is mediated by autoantibodies against the complement factor H. Nevertheless it is not known, what mechanism generates the production of the anti-factor H autoantibodies, that play a pathogenetic role in this form of the disease. It also remains a question, through what steps these cause the uncontrolled activation of the complement alternative pathway. To understand the function of the autoantibodies the exploration of their B cell epitope specificity would provide essential data, therefore our aim was to carry out the B-cell epitope mapping of anti-FH autoantibodies.</w:t>
      </w:r>
      <w:r>
        <w:rPr>
          <w:color w:val="000000"/>
          <w:sz w:val="24"/>
          <w:szCs w:val="24"/>
        </w:rPr>
        <w:br/>
        <w:t xml:space="preserve">Patients and methods: We performed our investigations through the analysis of 5, anti-FH IgG positive patients’ sera taken in the first episode of the disease, as control sera of healthy children and mixed immunoglobulin (IVIG) were used. We synthesized a series of overlapping peptides on polyethylene pins according to the primary sequence of the 19th and 20th CCP (complement control protein) domains of factor H. The amount of antibodies reacting with the given peptides was measured by a modified ELISA method. As potential epitopes those regions were identified, where neighbouring peptides showed increased reactivity (at least 50% compared to background reactivity).</w:t>
      </w:r>
      <w:r>
        <w:rPr>
          <w:color w:val="000000"/>
          <w:sz w:val="24"/>
          <w:szCs w:val="24"/>
        </w:rPr>
        <w:br/>
        <w:t xml:space="preserve">Results: In control samples (both healthy children and IVIG) reactivity was observed in three regions (AA1142-1156, AA1182-1193 and AA1193-1216 of factor H). In these regions increased antibody binding was observed in the case of all patients, and two additional epitopes (not present in controls, AA1157-1171, in 4/5 patient; AA1107-1121, in 2/5 patient) were also identified.</w:t>
      </w:r>
      <w:r>
        <w:rPr>
          <w:color w:val="000000"/>
          <w:sz w:val="24"/>
          <w:szCs w:val="24"/>
        </w:rPr>
        <w:br/>
        <w:t xml:space="preserve">Conclusion: Our results corroborate recent publication, in which anti-FH autoantibodies binding was also reported to multiple regions of factor H in healthy controls. However, we describe here for the first time specific B-cell epitopes localised on the 19th and 20th CCP domains of factor H in aHUS patients. These data may help the in-depth analysis of the mechanism by which these autoantibodies are formed and may potentially lead to diagnostic improvements.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44749">
    <w:multiLevelType w:val="hybridMultilevel"/>
    <w:lvl w:ilvl="0" w:tplc="38753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44749">
    <w:abstractNumId w:val="37844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31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