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JEKŐ</w:t>
            </w:r>
          </w:p>
          <w:p w:rsidR="00C275A3" w:rsidRDefault="00A96AEC" w:rsidP="00C275A3">
            <w:pPr>
              <w:pStyle w:val="Hallgatokepzes"/>
            </w:pPr>
            <w:r>
              <w:t>pharmacist</w:t>
            </w:r>
            <w:r>
              <w:br/>
            </w:r>
            <w:r w:rsidR="00E77B23">
              <w:t>Unified, 8. semester</w:t>
            </w:r>
          </w:p>
          <w:p w:rsidR="00C265CE" w:rsidRPr="009E5FF1" w:rsidRDefault="00E77B23" w:rsidP="00C275A3">
            <w:pPr>
              <w:pStyle w:val="Hallgatokepzes"/>
              <w:rPr>
                <w:b/>
                <w:caps/>
              </w:rPr>
            </w:pPr>
            <w:r>
              <w:t>Semmelweis University</w:t>
            </w:r>
            <w:r w:rsidR="00C275A3">
              <w:br/>
            </w:r>
            <w:r w:rsidR="00DB4822">
              <w:t>Faculty of Pharmacy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Drahos PhD</w:t>
            </w:r>
          </w:p>
          <w:p w:rsidR="00DB4822" w:rsidRDefault="00DB4822" w:rsidP="00E11062">
            <w:pPr>
              <w:pStyle w:val="Konzulensek"/>
            </w:pPr>
            <w:r w:rsidRPr="00DB4822">
              <w:t>senior research fellow,  Hungarian Academy of Science
Research Centre for Natural Sciences
Institute of Organic Chemistry</w:t>
            </w:r>
          </w:p>
        </w:tc>
      </w:tr>
      <w:tr w:rsidR="00DB4822" w:rsidTr="00DB4822">
        <w:tc>
          <w:tcPr>
            <w:tcW w:w="9854" w:type="dxa"/>
          </w:tcPr>
          <w:p w:rsidR="00DB4822" w:rsidRPr="00DB4822" w:rsidRDefault="00DB4822" w:rsidP="004D7940">
            <w:pPr>
              <w:pStyle w:val="Konzulensek"/>
            </w:pPr>
            <w:r w:rsidRPr="00DB4822">
              <w:t>Krisztina Ludányi PhD</w:t>
            </w:r>
          </w:p>
          <w:p w:rsidR="00DB4822" w:rsidRDefault="00DB4822" w:rsidP="00E11062">
            <w:pPr>
              <w:pStyle w:val="Konzulensek"/>
            </w:pPr>
            <w:r w:rsidRPr="00DB4822">
              <w:t>associate professor, SE GYTK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digest specificity of bovine and porcine trypsins used in protein analysis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Repoducibility and high sequence coverage of proteins is essential both with respect to proteomics, protein analysis and safety of protein-based pharmaceuticals. Analysis is most commonly performed by chromatography combined with mass spectrometry after the proteolytic digestion of proteins. The typically used cleavage agent is trypsin, in practice trypsins isolated from bovine or porcine pancreas are widely used. Our group utilized these enzymes in laboratory routine and we found that digest specificity of the two trypsins from different species are different. Therefore I conducted a systematic study comparing the digest efficiency as well as specificity of different proteases (sequence coverage, non-specific cleavage activity, etc.). Altough the determination of these parametres is particularly important in protein analysis as the reproducibility of digestion is crucial parameter for data evaluation and comparibility of proteomics studies, no information about this is available in the literature.</w:t>
      </w:r>
    </w:p>
    <w:p>
      <w:pPr>
        <w:widowControl w:val="on"/>
        <w:pBdr/>
        <w:spacing w:before="240" w:after="240" w:line="240" w:lineRule="auto"/>
        <w:ind w:left="0" w:right="0"/>
        <w:jc w:val="left"/>
      </w:pPr>
      <w:r>
        <w:rPr>
          <w:color w:val="000000"/>
          <w:sz w:val="24"/>
          <w:szCs w:val="24"/>
        </w:rPr>
        <w:br/>
        <w:t xml:space="preserve">Methods: I have digested standard proteins (beta-lactoglobulin, BLG; alcohol-dehydrogenase, ADH; alpha-1-acid glycoprotein, AGP) using porcine and bovine trypsins and I analyzed the produced peptides using nanoUHPLC-MS(/MS) system. The data interpretation was accomplished manually and with the help of computer softwares (ProteinLynx, GlycoMiner) and I identified the cleavage sites and the relative ratio of the produced peptides.</w:t>
      </w:r>
    </w:p>
    <w:p>
      <w:pPr>
        <w:widowControl w:val="on"/>
        <w:pBdr/>
        <w:spacing w:before="240" w:after="240" w:line="240" w:lineRule="auto"/>
        <w:ind w:left="0" w:right="0"/>
        <w:jc w:val="left"/>
      </w:pPr>
      <w:r>
        <w:rPr>
          <w:color w:val="000000"/>
          <w:sz w:val="24"/>
          <w:szCs w:val="24"/>
        </w:rPr>
        <w:br/>
        <w:t xml:space="preserve">Results: The experiments, which were performed using the above mentioned three proteins, showed that bovine and porcine trypsins have different specific cleavage sites furthermore the distribution of produced peptides are widely different. The digestion of AGP, which is a large glycosylated protein revealed that porcine trypsin has higher degree of non-specific cleavage activity and glycosylation influences the digestion of the two trypsins differently: using bovine trypsin three times more glycoforms can be identified.</w:t>
      </w:r>
    </w:p>
    <w:p>
      <w:pPr>
        <w:widowControl w:val="on"/>
        <w:pBdr/>
        <w:spacing w:before="240" w:after="240" w:line="240" w:lineRule="auto"/>
        <w:ind w:left="0" w:right="0"/>
        <w:jc w:val="left"/>
      </w:pPr>
      <w:r>
        <w:rPr>
          <w:color w:val="000000"/>
          <w:sz w:val="24"/>
          <w:szCs w:val="24"/>
        </w:rPr>
        <w:br/>
        <w:t xml:space="preserve">Conclusion: On the basis of the experiments I found that enzymes from different species produce qualitatively and quantitatively different peptide mixtures during digestion (there is a significant difference in sequence coverage and in favourable digestion sites). The study of digestion properties of trypsins will substantially help to improve the reproducibility of proteomic studies as well as the quality and efficiency of protein analysis.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355419">
    <w:multiLevelType w:val="hybridMultilevel"/>
    <w:lvl w:ilvl="0" w:tplc="226385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355419">
    <w:abstractNumId w:val="633554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03034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