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URBANCSOK</w:t>
            </w:r>
          </w:p>
          <w:p w:rsidR="00C275A3" w:rsidRDefault="00A96AEC" w:rsidP="00C275A3">
            <w:pPr>
              <w:pStyle w:val="Hallgatokepzes"/>
            </w:pPr>
            <w:r>
              <w:t>Pharmacist</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Beni</w:t>
            </w:r>
          </w:p>
          <w:p w:rsidR="00DB4822" w:rsidRDefault="00DB4822" w:rsidP="00E11062">
            <w:pPr>
              <w:pStyle w:val="Konzulensek"/>
            </w:pPr>
            <w:r w:rsidRPr="00DB4822">
              <w:t>assistant professor,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Interactions in substituted cathinone-cyclodextrin systems: structure and stability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group of stimulants that cause similar effects to illegal substances but bypass conventional drug laws are called designer drugs. Cathinone, the alkylamino-propiophenone alkaloid of khat (Catha edulis) is structurally related to amphetamine and ephedrine. Most of the substituted cathinones recently became banned by the law. This event pointed at the need of their analytical characterization, especially their chiral separation, that later might assist the work of Regulatory Authorities.</w:t>
      </w:r>
    </w:p>
    <w:p>
      <w:pPr>
        <w:widowControl w:val="on"/>
        <w:pBdr/>
        <w:spacing w:before="240" w:after="240" w:line="240" w:lineRule="auto"/>
        <w:ind w:left="0" w:right="0"/>
        <w:jc w:val="left"/>
      </w:pPr>
      <w:r>
        <w:rPr>
          <w:color w:val="000000"/>
          <w:sz w:val="24"/>
          <w:szCs w:val="24"/>
        </w:rPr>
        <w:t xml:space="preserve">Cyclodextrins are commonly used as selectors in chiral separations. In the case of five cathinones (mephedrone, flephedrone, butylone, MDPV and 4-MEC) the complexation with β-cyclodextrin was investigated. The stoichiometry of the complexes was determined using Job's plot method and resulted a 1:1 complex in each case. The structure of the inclusion complexes were elucidated using NOE NMR experiments. The direction of the inclusion in the case of para-substituted and methylenedioxy derivatives were deduced from the intense cross-peaks of the inner CD protons and the aromatic protons of the guests.</w:t>
      </w:r>
    </w:p>
    <w:p>
      <w:pPr>
        <w:widowControl w:val="on"/>
        <w:pBdr/>
        <w:spacing w:before="240" w:after="240" w:line="240" w:lineRule="auto"/>
        <w:ind w:left="0" w:right="0"/>
        <w:jc w:val="left"/>
      </w:pPr>
      <w:r>
        <w:rPr>
          <w:color w:val="000000"/>
          <w:sz w:val="24"/>
          <w:szCs w:val="24"/>
        </w:rPr>
        <w:t xml:space="preserve">A capillary zone electrophoresis method was developed for the chiral separation of the racemic cathinones. Neutral, anionic and cationic cyclodextrin derivatives were used in a preliminary screening experiment, the best enantioresolution was achieved with sulfobutyl-ether-β-cyclodextrin (SBEβCD). SBEβCDs with various degree of substitution (4.3; 6.6; 10.4) were used to determine the inclusion complex stabilities in CE-titrations. The impact of the pH (2.5-6), the concentration of the background electrolyte (10-200 mM) and the buffer components on the peak shape were extensively studied. The measurements under the optimized conditions (TRIS-acetic acid buffer, pH 4.75) reflected the following relative stability order: MDPV &gt; butylone &gt;&gt; 4-MEC &gt; mephedrone &gt; flephedrone. In the evaluation process, the viscosity of the BGE and its impact on the measured effective mobility was also taken into account. The affinity order determined by CE was confirmed by complexation-induced chemical shift differences observed in NMR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84556">
    <w:multiLevelType w:val="hybridMultilevel"/>
    <w:lvl w:ilvl="0" w:tplc="85995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84556">
    <w:abstractNumId w:val="67684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157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