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KUTI</w:t>
            </w:r>
          </w:p>
          <w:p w:rsidR="00C275A3" w:rsidRDefault="00A96AEC" w:rsidP="00C275A3">
            <w:pPr>
              <w:pStyle w:val="Hallgatokepzes"/>
            </w:pPr>
            <w:r>
              <w:t>pharmacist</w:t>
            </w:r>
            <w:r>
              <w:br/>
            </w:r>
            <w:r w:rsidR="00E77B23">
              <w:t>Unified, 9.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Nikolett Kállai PhD</w:t>
            </w:r>
          </w:p>
          <w:p w:rsidR="00DB4822" w:rsidRDefault="00DB4822" w:rsidP="00E11062">
            <w:pPr>
              <w:pStyle w:val="Konzulensek"/>
            </w:pPr>
            <w:r w:rsidRPr="00DB4822">
              <w:t>  professor’s assistant, SE GYTK</w:t>
            </w:r>
          </w:p>
        </w:tc>
      </w:tr>
      <w:tr w:rsidR="00DB4822" w:rsidTr="00DB4822">
        <w:tc>
          <w:tcPr>
            <w:tcW w:w="9854" w:type="dxa"/>
          </w:tcPr>
          <w:p w:rsidR="00DB4822" w:rsidRPr="00DB4822" w:rsidRDefault="00DB4822" w:rsidP="004D7940">
            <w:pPr>
              <w:pStyle w:val="Konzulensek"/>
            </w:pPr>
            <w:r w:rsidRPr="00DB4822">
              <w:t>István Antal PhD</w:t>
            </w:r>
          </w:p>
          <w:p w:rsidR="00DB4822" w:rsidRDefault="00DB4822" w:rsidP="00E11062">
            <w:pPr>
              <w:pStyle w:val="Konzulensek"/>
            </w:pPr>
            <w:r w:rsidRPr="00DB4822">
              <w:t>  associate professor,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Formulation possibilities of intraoral, pediatric drug delivery systems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Nowadays there is a growing interest towards drug delivery systems and dosage forms based on specific technological processes and offering new therapeutic opportunities for active pharmaceutical ingredients (APIs) in long term drug treatment. Although 25% of the European population includes the most vulnerable patient group, the under aged children, only few data are available from clinical studies considering the innovative technological solutions for pediatric indications. The European Parliament, the Council of Europe and the FDA (Food and Drug Administration) try to promote the therapeutic use of these medicines for children by introducing new regulations.</w:t>
      </w:r>
    </w:p>
    <w:p>
      <w:pPr>
        <w:widowControl w:val="on"/>
        <w:pBdr/>
        <w:spacing w:before="240" w:after="240" w:line="240" w:lineRule="auto"/>
        <w:ind w:left="0" w:right="0"/>
        <w:jc w:val="left"/>
      </w:pPr>
      <w:r>
        <w:rPr>
          <w:color w:val="000000"/>
          <w:sz w:val="24"/>
          <w:szCs w:val="24"/>
        </w:rPr>
        <w:t xml:space="preserve">The objective of the study was to formulate drug delivery systems for pediatric use which are providing accurate dosage of API and can be appropriate for children as well. An important requirement is that these medicines must contain only securely applicable excipients in the smallest amount possible. Undoubtedly, there is a considerable need for such technologies which make the administration acceptable and attractive to the children.</w:t>
      </w:r>
    </w:p>
    <w:p>
      <w:pPr>
        <w:widowControl w:val="on"/>
        <w:pBdr/>
        <w:spacing w:before="240" w:after="240" w:line="240" w:lineRule="auto"/>
        <w:ind w:left="0" w:right="0"/>
        <w:jc w:val="left"/>
      </w:pPr>
      <w:r>
        <w:rPr>
          <w:color w:val="000000"/>
          <w:sz w:val="24"/>
          <w:szCs w:val="24"/>
        </w:rPr>
        <w:t xml:space="preserve">Methods: During our studies we investigated the production possibilities of a sugar free lollipop for children and the formulation methods including fibre form of API with the application of melt-spinning technology. During the production of the medicated lollipop and the fibres the development of the excipient’s amorphous structure was followed and its stability was investigated by Differential Scanning Calorimetry (DSC). The uniform distribution of the active ingredient was evaluated by means of the Fourier Transform Infrared Spectroscopy (FTIR) in the fibre formed carrier. The drug release from the dosage form as well as the simulated behaviour of the placebo in the oral cavity (the change in mass in the oral cavity and the change of the pH-value) were tested by a novel technique. Commercially-available lollipops available in the US market were applied for the comparison.</w:t>
      </w:r>
    </w:p>
    <w:p>
      <w:pPr>
        <w:widowControl w:val="on"/>
        <w:pBdr/>
        <w:spacing w:before="240" w:after="240" w:line="240" w:lineRule="auto"/>
        <w:ind w:left="0" w:right="0"/>
        <w:jc w:val="left"/>
      </w:pPr>
      <w:r>
        <w:rPr>
          <w:color w:val="000000"/>
          <w:sz w:val="24"/>
          <w:szCs w:val="24"/>
        </w:rPr>
        <w:t xml:space="preserve">Results and conclusion: According to our results, the prototype formulations offer an accurate drug release profile with respect of the compliance with the under aged patients and the acceptable applicability.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44291">
    <w:multiLevelType w:val="hybridMultilevel"/>
    <w:lvl w:ilvl="0" w:tplc="25011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44291">
    <w:abstractNumId w:val="96844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319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