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RENATA NADUDVARI</w:t>
            </w:r>
          </w:p>
          <w:p w:rsidR="00C275A3" w:rsidRDefault="00A96AEC" w:rsidP="00C275A3">
            <w:pPr>
              <w:pStyle w:val="Hallgatokepzes"/>
            </w:pPr>
            <w:r>
              <w:t>Pharmacist</w:t>
            </w:r>
            <w:r>
              <w:br/>
            </w:r>
            <w:r w:rsidR="00E77B23">
              <w:t>Unified, 7. semester</w:t>
            </w:r>
          </w:p>
          <w:p w:rsidR="00C265CE" w:rsidRPr="009E5FF1" w:rsidRDefault="00E77B23" w:rsidP="00C275A3">
            <w:pPr>
              <w:pStyle w:val="Hallgatokepzes"/>
              <w:rPr>
                <w:b/>
                <w:caps/>
              </w:rPr>
            </w:pPr>
            <w:r>
              <w:t>Semmelweis University</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Őrfi</w:t>
            </w:r>
          </w:p>
          <w:p w:rsidR="00DB4822" w:rsidRDefault="00DB4822" w:rsidP="00E11062">
            <w:pPr>
              <w:pStyle w:val="Konzulensek"/>
            </w:pPr>
            <w:r w:rsidRPr="00DB4822">
              <w:t>associate professor, SE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structure-activity relationships of Flt3 kinase inhibitors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Over the past twenty years kinases became preferred biologycal target molecules of drug research. The kinases are proteins which have reversible phosphorilation function by the help of ATP, and they are downstream members of signal transduction pathways. They have important role in cell proliferation and in apoptosis. Kinases were validated as target molecules in quite many diseases (HIV, influenza, bacterial infections, inflammatory processes) but principally, pathological activitation or mutation of kinases have been detected in different types of cancers.</w:t>
      </w:r>
    </w:p>
    <w:p>
      <w:pPr>
        <w:widowControl w:val="on"/>
        <w:pBdr/>
        <w:spacing w:before="240" w:after="240" w:line="240" w:lineRule="auto"/>
        <w:ind w:left="0" w:right="0"/>
        <w:jc w:val="left"/>
      </w:pPr>
      <w:r>
        <w:rPr>
          <w:color w:val="000000"/>
          <w:sz w:val="24"/>
          <w:szCs w:val="24"/>
        </w:rPr>
        <w:t xml:space="preserve">Among human leukemias, acute myelogenous leukemia (AML) is the leader of adulthood morbidity. Although its incindence is increasing with age, it frequently occurs in childhood. Mutations of FLT3, mainly internal tandem duplication (35%) or other mutations (15-20%) can be identified in this type of cancer.</w:t>
      </w:r>
    </w:p>
    <w:p>
      <w:pPr>
        <w:widowControl w:val="on"/>
        <w:pBdr/>
        <w:spacing w:before="240" w:after="240" w:line="240" w:lineRule="auto"/>
        <w:ind w:left="0" w:right="0"/>
        <w:jc w:val="left"/>
      </w:pPr>
      <w:r>
        <w:rPr>
          <w:color w:val="000000"/>
          <w:sz w:val="24"/>
          <w:szCs w:val="24"/>
        </w:rPr>
        <w:t xml:space="preserve">Our aim was the investigation of structure-activity relationships of known and new, potential inhibitors of FLT3 kinase experimentally and by computational modelling.</w:t>
      </w:r>
    </w:p>
    <w:p>
      <w:pPr>
        <w:widowControl w:val="on"/>
        <w:pBdr/>
        <w:spacing w:before="240" w:after="240" w:line="240" w:lineRule="auto"/>
        <w:ind w:left="0" w:right="0"/>
        <w:jc w:val="left"/>
      </w:pPr>
      <w:r>
        <w:rPr>
          <w:color w:val="000000"/>
          <w:sz w:val="24"/>
          <w:szCs w:val="24"/>
        </w:rPr>
        <w:t xml:space="preserve">We have mapped the binding site of FLT3 kinase by means of an in silico molecule modelling program (Schrödinger Suite 2009 Update 2). We have modelled the interaction of our designed molecules with the binding site of the enzyme in comparison with reference compounds. A virtual library of several hundreds of molecules have been docked. The 3D structure of the FLT3 protein was downloaded from the PDB database (PDB ID: 1 RJB). We have applied the program moduls: LigPrep, Glide (SP és XP mode), Prot.Prep. Wizard, SiteMap and Phase.</w:t>
      </w:r>
    </w:p>
    <w:p>
      <w:pPr>
        <w:widowControl w:val="on"/>
        <w:pBdr/>
        <w:spacing w:before="240" w:after="240" w:line="240" w:lineRule="auto"/>
        <w:ind w:left="0" w:right="0"/>
        <w:jc w:val="left"/>
      </w:pPr>
      <w:r>
        <w:rPr>
          <w:color w:val="000000"/>
          <w:sz w:val="24"/>
          <w:szCs w:val="24"/>
        </w:rPr>
        <w:t xml:space="preserve">We have optimised an in vitro kinase assay (Transcreener ADP 2 FP) using reference substances to test the compoundslsynthetized by our group. In the assay we have measured the fluoresence polarization changes of 174 synthesized molecules ,using a Molecular Devices Analyst GT detector. Comparing the in silico docking results and the measured biological effects we have mapped the significant structural elements potentially responsible for inhibitory activity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494429">
    <w:multiLevelType w:val="hybridMultilevel"/>
    <w:lvl w:ilvl="0" w:tplc="112649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494429">
    <w:abstractNumId w:val="894944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51359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