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OLÁH VIKTOR JÁNOS</w:t>
            </w:r>
          </w:p>
          <w:p w:rsidR="00C275A3" w:rsidRDefault="00A96AEC" w:rsidP="00C275A3">
            <w:pPr>
              <w:pStyle w:val="Hallgatokepzes"/>
            </w:pPr>
            <w:r>
              <w:t>Molekuláris bionika</w:t>
            </w:r>
            <w:r>
              <w:br/>
            </w:r>
            <w:r w:rsidR="00E77B23">
              <w:t>BSc, 9.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Szabadics János</w:t>
            </w:r>
          </w:p>
          <w:p w:rsidR="00DB4822" w:rsidRDefault="00DB4822" w:rsidP="00E11062">
            <w:pPr>
              <w:pStyle w:val="Konzulensek"/>
            </w:pPr>
            <w:r w:rsidRPr="00DB4822">
              <w:t>tudományos főmunkatárs,  Magyar Tudományos Akadémia, Kísérleti Orvostudományi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CA3 régióban található CCK-expresszáló sejtek új funkcionális csoportosíthatósága egy jellegzetes kálium áram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hippocampusban ezidáig több mint húsz GABAerg sejt típust írtak le eltérő morfológiai és molekuláris tulajdonságaik alapján. Emiatt a funkcionális sokszínűség miatt a GABAerg sejtek szerteágazó módon képesek befolyásolni a hippocampus működését. Az idegsejt-hálózat komplexitásához hozzájárulnak egyes ioncsatornák sejt típus-specifikus működése is, mivel ezek a sejtek jelentősen eltérő serkenthetőségét eredményezhetik. Munkám során elkülönítettem a CA3 régió CCK-expresszáló GABAerg (CCK-IN) sejtek két csoportját, egy karakterisztikus feszültség-függő kálium áram jelenléte, illetve hiánya alapján, ami jelentősen eltérő tüzelési tulajdonságokat eredményez. A kísérleteim során akut agyszeletből végeztem patch clamp elvezetéseket immunohisztokémiailag és morfológiailag azonosított GABAerg sejtekből. Az eredményeim azt mutatják, hogy a CCK-IN-k egy részében, hiperpolarizált kiindulási membránpotenciál esetén (-80--85 mV) az akciós potenciálok gátolva vannak a stimuláló áram-injekció kezdeti részén (akár 250 ms-ig). Ez a tranziens kimenő rektifikáció (TOR) nem volt megfigyelhető ugyanezeken a sejteken depolarizáltabb kiindulási membránpotenciál esetén (-60--65 mV). Azonban a CCK-IN-nak csak egy része mutatta a fenti állapot-függő TOR jelenséget, míg hasonló anatómiai tulajdonságú CCK-IN másik jelentős részében nem találtam TOR jelenséget sem alacsony, sem magas kiindulási membránpotenciálon (nem-TOR sejtek). Voltage-clamp módszerrel végzett méréseim rávilágítottak arra, hogy a TOR CCK-IN-k már az akciós potenciál küszöbhöz képest alacsonyabb feszültségeken (-55--40mV) is jelentős kálium árammal rendelkeznek, amely feszültség-függő inaktivációt mutat. Ezzel szemben a nem-TOR sejtekben csak magasabb feszültségen aktiválható számottevő kimenő áram. A feszültség-függő inaktiváció és 4-amino-pyridin érzékenység alapján az alacsony feszülségen aktiválódó kálium áram döntő része A-típusú áramként azonosítható. Továbbá, a kálium áramok inaktivációjának feszültség-függése TOR CCK-IN-ban megmagyarázza az állapot-függő tüzelési mintázat kialakulását. A sejtek további alapvető tulajdonságainak (pl. dendrit és axon eloszlás, immunohiszokémiai markerek) vizsgálata nem mutatott különbségeket az eltérő tüzelésű sejtek esetében. Összegezve, az eredményeim rámutattak két funkcionálisan elkülönülő csoportra az anatómiailag homogén CCK-IN típusokon belül a CA3 régióban, és arra, hogy ezen elkülönülés hátterében feszültség-függő kálium áramok különböző elérhetősége áll.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03104">
    <w:multiLevelType w:val="hybridMultilevel"/>
    <w:lvl w:ilvl="0" w:tplc="36060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03104">
    <w:abstractNumId w:val="40103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96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