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JÁNOS OLÁH</w:t>
            </w:r>
          </w:p>
          <w:p w:rsidR="00C275A3" w:rsidRDefault="00A96AEC" w:rsidP="00C275A3">
            <w:pPr>
              <w:pStyle w:val="Hallgatokepzes"/>
            </w:pPr>
            <w:r>
              <w:t>Molecular bionics</w:t>
            </w:r>
            <w:r>
              <w:br/>
            </w:r>
            <w:r w:rsidR="00E77B23">
              <w:t>BSc, 9.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Szabadics</w:t>
            </w:r>
          </w:p>
          <w:p w:rsidR="00DB4822" w:rsidRDefault="00DB4822" w:rsidP="00E11062">
            <w:pPr>
              <w:pStyle w:val="Konzulensek"/>
            </w:pPr>
            <w:r w:rsidRPr="00DB4822">
              <w:t>  senior research fellow,  Institute of Experimental Medicine,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availability of potassium currents determines two functionally distinct populations of CCK-expressing neurons in the CA3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More than twenty different types of hippocampal GABAergic cell-types have been identified based on morphological and molecular properties and these cell types are thought to play distinct roles in regulating neuronal activity. In many cases, cell type-specific functions of various voltage-dependent ionic channels underlie the functional divergence of GABAergic cell types by resulting in different excitability properties. In this study, I distinguished two populations within CCK-expressing GABAergic cells (CCK-IN) in the CA3 region of the hippocampus based on the presence or the absence of a unique potassium current that leads to state-dependent firing properties. For this aim, I employed patch clamp recordings from subsequently identified GABAergic cells in acute hippocampal slices. The results showed that in a large subset of CCK-INs action potentials are strongly inhibited at the onset of current injections steps (for up to 250 ms) when the firing patterns were recorded from hyperpolarized membrane potentials (-80--85 mV). However, this transient outward rectification (TOR) was not present in the same cells at depolarized initial membrane potentials (-60--65 mV). Interestingly, the TOR phenomenon was not typical for all CCK-INs as the other subset of this morphologically homogeneous cell population did not showed state-dependency inhibition of action potential generation (non-TOR cells). Voltage-clamp recordings revealed that TOR CCK-INs have substantial potassium currents at lower membrane potentials (-55--40mV) than their action potential threshold, whereas in non-TOR cells considerable potassium currents can be activated only above the threshold potential. The voltage-dependency of the inactivation and the 4-amino-pyridin sensitivity indicated that the current in TOR cells is a classical A-type potassium current. Importantly, the results suggested that the voltage-dependency of the inactivation of this potassium current can underlie the membrane potential dependence of the firing patterns. Detailed analysis of TOR and non-TOR CCK-INs did not revealed any significant differences in the morphology of these two populations. Altogether, the results revealed that different availability of inactivating potassium conductances distinguishes two functionally different populations among anatomically homogeneous CCK-INs in the CA3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73827">
    <w:multiLevelType w:val="hybridMultilevel"/>
    <w:lvl w:ilvl="0" w:tplc="94212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73827">
    <w:abstractNumId w:val="82273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751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