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GÁBOR TÓTH</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CSABA MÁTÉ VARGA</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Miklós Nagy</w:t>
            </w:r>
          </w:p>
          <w:p w:rsidR="00DB4822" w:rsidRDefault="00DB4822" w:rsidP="00E11062">
            <w:pPr>
              <w:pStyle w:val="Konzulensek"/>
            </w:pPr>
            <w:r w:rsidRPr="00DB4822">
              <w:t>PhD student, SE ÁOK</w:t>
            </w:r>
          </w:p>
        </w:tc>
      </w:tr>
      <w:tr w:rsidR="00DB4822" w:rsidTr="00DB4822">
        <w:tc>
          <w:tcPr>
            <w:tcW w:w="9854" w:type="dxa"/>
          </w:tcPr>
          <w:p w:rsidR="00DB4822" w:rsidRPr="00DB4822" w:rsidRDefault="00DB4822" w:rsidP="004D7940">
            <w:pPr>
              <w:pStyle w:val="Konzulensek"/>
            </w:pPr>
            <w:r w:rsidRPr="00DB4822">
              <w:t>László Tretter</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substrate-preference of BV-2 microglial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Microglia cells found in the central nervous system, having phagocitotic function and playing a major role in the pathogenesis of neurodegenerative disorders. In their activated state these cells can migrate and enter into various metabolic compartments, where the quantity and the quality of available nutrients can be highly variable. The question is, what kind of substrates can be used to support their oxidative metabolism. In the present work immortalized murine microglial cells were used. The oxygen consumption of microglial cells was measured by Clark electrode in the presence of various substrates (glucose, lactate, ketone bodies, amino acid-mixture). The following parameters were measured: basal rate of cellular respiration, the oxygen consumption devoted to ATP synthesis, the maximal rate of cellular respiration (measured in the presence of an uncoupler), the reserve respiration: the maximal rate minus basal rate. Two incubation media were used throughout the experiments. Two hours before the actual measurement the media was changed(i) to a DMEM based media (amino acids as a fuel) or (ii) to a nutrient-free artificial cerebrospinal fluid (ACSF) media which contained only electrolites. In ACSF media cells used their endogenous substrates before measurements (fasting). It is observed that in ACSF media in the presence of glucose the basal rate of respiration was decreased, however in the presence of lactate and glutamine the rate of oxidation was increased in ACSF media. The respiration in the presence of FCCP was further stimulated by all respiratory substrates in both media. The highest increase of respiration was observed in the presence of glutamine. The viability test showed, that the two hours of fasting did not influence the vitality of the cells. On the basis of these experiments it is concluded that microglial cells show metabolic flexibility, they can use glucose, lactate, ketone bodies and glutamine to support their oxidative metabolism. It was found that besides glucose, glutamine is the most preferred substrate for the microglial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68146">
    <w:multiLevelType w:val="hybridMultilevel"/>
    <w:lvl w:ilvl="0" w:tplc="50570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68146">
    <w:abstractNumId w:val="39168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649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