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EDE BIRTALAN</w:t>
            </w:r>
          </w:p>
          <w:p w:rsidR="00C275A3" w:rsidRDefault="00A96AEC" w:rsidP="00C275A3">
            <w:pPr>
              <w:pStyle w:val="Hallgatokepzes"/>
            </w:pPr>
            <w:r>
              <w:t>medicine</w:t>
            </w:r>
            <w:r>
              <w:br/>
            </w:r>
            <w:r w:rsidR="00E77B23">
              <w:t>Unified, 9.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DALMA KELLERMAYER</w:t>
            </w:r>
          </w:p>
          <w:p w:rsidR="00DB4822" w:rsidRDefault="00C275A3" w:rsidP="004D7940">
            <w:pPr>
              <w:pStyle w:val="Hallgatokepzes"/>
            </w:pPr>
            <w:r>
              <w:t>medicine</w:t>
            </w:r>
            <w:r w:rsidR="00A96AEC">
              <w:br/>
              <w:t>Unified, 5.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Radovits, MD, PhD</w:t>
            </w:r>
          </w:p>
          <w:p w:rsidR="00DB4822" w:rsidRDefault="00DB4822" w:rsidP="00E11062">
            <w:pPr>
              <w:pStyle w:val="Konzulensek"/>
            </w:pPr>
            <w:r w:rsidRPr="00DB4822">
              <w:t>clinical physician, SE ÁOK Heart Center, Semmelweis University,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Detailed hemodynamic characterization of athlete’s heart using left ventricular pressure-volume analysis in a rat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development of professional sport and sudden cardiac death cases among athletes aroused emerging interest in sports cardiology. Several research groups investigated exercise training induced left ventricular (LV) hypertrophy in animal models, however only sporadic data exists about detailed hemodynamic measurements. We aimed to establish and validate the rat model of athlete’s heart and provide a detailed functional characterization using the modern sophisticated method of pressure-volume (PV) analysis.</w:t>
      </w:r>
    </w:p>
    <w:p>
      <w:pPr>
        <w:widowControl w:val="on"/>
        <w:pBdr/>
        <w:spacing w:before="240" w:after="240" w:line="240" w:lineRule="auto"/>
        <w:ind w:left="0" w:right="0"/>
        <w:jc w:val="left"/>
      </w:pPr>
      <w:r>
        <w:rPr>
          <w:color w:val="000000"/>
          <w:sz w:val="24"/>
          <w:szCs w:val="24"/>
        </w:rPr>
        <w:br/>
        <w:t xml:space="preserve">Methods: LV hypertrophy was induced by swimming training (200min/d for 12 weeks). Sedentary rats were placed in the swimming apparatus for 5min/d. After completion of the swimming portocol we performed echocardiographic measurements and LV PV analysis using a microtip pressure-conductance catheter to investigate the morphology and function of the LV, respectively.</w:t>
      </w:r>
    </w:p>
    <w:p>
      <w:pPr>
        <w:widowControl w:val="on"/>
        <w:pBdr/>
        <w:spacing w:before="240" w:after="240" w:line="240" w:lineRule="auto"/>
        <w:ind w:left="0" w:right="0"/>
        <w:jc w:val="left"/>
      </w:pPr>
      <w:r>
        <w:rPr>
          <w:color w:val="000000"/>
          <w:sz w:val="24"/>
          <w:szCs w:val="24"/>
        </w:rPr>
        <w:br/>
        <w:t xml:space="preserve">Results: Echocardiographic examinations showed LV hypertrophy according to the wall-thickness values (LV mass index: 2.41±0.08 vs. 2.03±0.08g/kgBW, p&lt;0.05), which was confirmed by post-mortem measured heart weight and histological morphometry.</w:t>
      </w:r>
      <w:r>
        <w:rPr>
          <w:color w:val="000000"/>
          <w:sz w:val="24"/>
          <w:szCs w:val="24"/>
        </w:rPr>
        <w:br/>
        <w:t xml:space="preserve">Invasive hemodynamic measurements showed unchanged heart rate, arterial pressure and LV end-diastolic volume along with decreased end-systolic volume, increased stroke volume (175±8 vs. 145±8µl) and ejection fraction (73±1 vs. 64±2%) in trained rats compared to sedentary controls. The PV loop-derived sensitive, load-independent contractility indexes were found to be significantly increased (preload recruitable stroke work: 77±7 vs. 54±5mmHg). We observed increased LV stroke work (15±1 vs. 11±1mmHg*ml) and maximal power (92±9 vs. 60±6mW) in athlete’s heart. Despite the significant hypertrophy, the LV stiffness was not increased, while there was an improvement in active relaxation (Tau: 9.6±0.3 vs. 10.9±0.3ms).</w:t>
      </w:r>
    </w:p>
    <w:p>
      <w:pPr>
        <w:widowControl w:val="on"/>
        <w:pBdr/>
        <w:spacing w:before="240" w:after="240" w:line="240" w:lineRule="auto"/>
        <w:ind w:left="0" w:right="0"/>
        <w:jc w:val="left"/>
      </w:pPr>
      <w:r>
        <w:rPr>
          <w:color w:val="000000"/>
          <w:sz w:val="24"/>
          <w:szCs w:val="24"/>
        </w:rPr>
        <w:br/>
        <w:t xml:space="preserve">Conclusions: According to our results, we established a rat model of physiologic LV hypertrophy. It is the first study, which provides a detailed characterization of functional changes and hemodynamic relations in athlete’s heart.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81224">
    <w:multiLevelType w:val="hybridMultilevel"/>
    <w:lvl w:ilvl="0" w:tplc="18972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81224">
    <w:abstractNumId w:val="16381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651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