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KARÁDY</w:t>
            </w:r>
          </w:p>
          <w:p w:rsidR="00C275A3" w:rsidRDefault="00A96AEC" w:rsidP="00C275A3">
            <w:pPr>
              <w:pStyle w:val="Hallgatokepzes"/>
            </w:pPr>
            <w:r>
              <w:t>Cardiology</w:t>
            </w:r>
            <w:r>
              <w:br/>
            </w:r>
            <w:r w:rsidR="00E77B23">
              <w:t>Unified, 7.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Széplaki MD, PhD</w:t>
            </w:r>
          </w:p>
          <w:p w:rsidR="00DB4822" w:rsidRDefault="00DB4822" w:rsidP="00E11062">
            <w:pPr>
              <w:pStyle w:val="Konzulensek"/>
            </w:pPr>
            <w:r w:rsidRPr="00DB4822">
              <w:t>assistant lecturer, SE ÁOK</w:t>
            </w:r>
          </w:p>
        </w:tc>
      </w:tr>
      <w:tr w:rsidR="00DB4822" w:rsidTr="00DB4822">
        <w:tc>
          <w:tcPr>
            <w:tcW w:w="9854" w:type="dxa"/>
          </w:tcPr>
          <w:p w:rsidR="00DB4822" w:rsidRPr="00DB4822" w:rsidRDefault="00DB4822" w:rsidP="004D7940">
            <w:pPr>
              <w:pStyle w:val="Konzulensek"/>
            </w:pPr>
            <w:r w:rsidRPr="00DB4822">
              <w:t>Béla Merkely MD, PhD, DSc</w:t>
            </w:r>
          </w:p>
          <w:p w:rsidR="00DB4822" w:rsidRDefault="00DB4822" w:rsidP="00E11062">
            <w:pPr>
              <w:pStyle w:val="Konzulensek"/>
            </w:pPr>
            <w:r w:rsidRPr="00DB4822">
              <w:t>lecturer,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preoperative complement C3a concentration predicts the clinical outcome of cardiac resincronisation therapy (CRT).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Cardiac resynchronisation (CRT) improves the clinical state of the majority of severe heart failure with intraventricular conduction delay. As some paitents do not benefit from the therapy , the need for pre-operative identification of non-responders is emerging. Previously we have described, that the complement system might play an important role in the pathogenesis of heart failure and complement anaphylatoxin C3a is independently associated with desease severity. our aim was to determine the predictive vaule of complement componens and inflammatory markers ont he clinical outcom following CRT.</w:t>
      </w:r>
    </w:p>
    <w:p>
      <w:pPr>
        <w:widowControl w:val="on"/>
        <w:pBdr/>
        <w:spacing w:before="240" w:after="240" w:line="240" w:lineRule="auto"/>
        <w:ind w:left="0" w:right="0"/>
        <w:jc w:val="left"/>
      </w:pPr>
      <w:r>
        <w:rPr>
          <w:color w:val="000000"/>
          <w:sz w:val="24"/>
          <w:szCs w:val="24"/>
        </w:rPr>
        <w:t xml:space="preserve">One-houndred forty seven patients on optimal medical therapy with the wide QRS (≥120 ms), NYHA II-IV class severe heart faliure and dcreased LVEF (&lt;35%) wereincluded in this prospective study. Primary endpoint was cardiovascularmortality or herat transplantation; secondary endpoint was responder state at 6 months following CRT implantation (at least one class improvement ont the NYHA state or at least 10% improvement ont he 6 minutes walking distance). Complement components (C+, C3a, sC5b-9) inflammatory proteins (C-reactive protein – CRP, tumor necrosis factor-α – TNF-α) and B.type natriuretic peptide (NT-proBNP) were determined preoperatively.</w:t>
      </w:r>
    </w:p>
    <w:p>
      <w:pPr>
        <w:widowControl w:val="on"/>
        <w:pBdr/>
        <w:spacing w:before="240" w:after="240" w:line="240" w:lineRule="auto"/>
        <w:ind w:left="0" w:right="0"/>
        <w:jc w:val="left"/>
      </w:pPr>
      <w:r>
        <w:rPr>
          <w:color w:val="000000"/>
          <w:sz w:val="24"/>
          <w:szCs w:val="24"/>
        </w:rPr>
        <w:t xml:space="preserve">Patients who met the primary endpoint had significantly higher C3a concentrations (302,7 [236,2-373,7] vs. 189,9 [140,2-255,8] ng/ml; p=0,001). High C3a levels predicted mortality and heart transplantation with an odds ratio of 3,5 (95% confidence interval 1,2-10,7; p=0,038). Levels of CRP and NT-pro-BNP were also higher in patients meeting the primary endpoint (p=0,004 and p=0,028), however these markers did not have significant prgnostic value (p=0,101 and p=0,069). C3a was the only marker wich was elevated in patients who met the combined primary and secondary end point (mortality or heart transplant or non-responder clinical state (228,8 [181,6-324,6] vs. 191,9 [141,7-263,9] ng/ml; p=0,013). We found no assotiation between TNF-α, sC5b-9 or total C3 levels and clinical outcome.</w:t>
      </w:r>
    </w:p>
    <w:p>
      <w:pPr>
        <w:widowControl w:val="on"/>
        <w:pBdr/>
        <w:spacing w:before="240" w:after="240" w:line="240" w:lineRule="auto"/>
        <w:ind w:left="0" w:right="0"/>
        <w:jc w:val="left"/>
      </w:pPr>
      <w:r>
        <w:rPr>
          <w:color w:val="000000"/>
          <w:sz w:val="24"/>
          <w:szCs w:val="24"/>
        </w:rPr>
        <w:t xml:space="preserve">According to our results, complement activation is strongly linked to unfavourable outcomes in heart failure. C3a may be a promising marker in the prediction of clinical response following CRT. Anaphylatoxin C3a might have a direct causative role in the progression of heart failure by edema formation due to increased fluid extravasation. Determining C3a concentration preoperatively might improve the efficacy approiate patient selection.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488082">
    <w:multiLevelType w:val="hybridMultilevel"/>
    <w:lvl w:ilvl="0" w:tplc="99631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488082">
    <w:abstractNumId w:val="954880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51860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