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ANNAMÁRIA KIS</w:t>
            </w:r>
          </w:p>
          <w:p w:rsidR="00C275A3" w:rsidRDefault="00A96AEC" w:rsidP="00C275A3">
            <w:pPr>
              <w:pStyle w:val="Hallgatokepzes"/>
            </w:pPr>
            <w:r>
              <w:t>general medicine</w:t>
            </w:r>
            <w:r>
              <w:br/>
            </w:r>
            <w:r w:rsidR="00E77B23">
              <w:t>Unified, 9.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ANDREA SIMON</w:t>
            </w:r>
          </w:p>
          <w:p w:rsidR="00DB4822" w:rsidRDefault="00C275A3" w:rsidP="004D7940">
            <w:pPr>
              <w:pStyle w:val="Hallgatokepzes"/>
            </w:pPr>
            <w:r>
              <w:t>general medicine</w:t>
            </w:r>
            <w:r w:rsidR="00A96AEC">
              <w:br/>
              <w:t>Unified, 12. semester</w:t>
            </w:r>
          </w:p>
          <w:p w:rsidR="00DB4822" w:rsidRDefault="00DB4822" w:rsidP="004D7940">
            <w:pPr>
              <w:pStyle w:val="Hallgatointezmeny-kar"/>
            </w:pPr>
            <w:r>
              <w:t>Semmelweis University</w:t>
            </w:r>
          </w:p>
          <w:p w:rsidR="00C265CE" w:rsidRPr="009E5FF1" w:rsidRDefault="00DB4822" w:rsidP="004D7940">
            <w:pPr>
              <w:pStyle w:val="Hallgatointezmeny-kar"/>
              <w:rPr>
                <w:b/>
                <w:caps/>
              </w:rPr>
            </w:pPr>
            <w:r>
              <w:t>Faculty of Medicine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Eszter M. Horvath, MD., PhD.</w:t>
            </w:r>
          </w:p>
          <w:p w:rsidR="00DB4822" w:rsidRDefault="00DB4822" w:rsidP="00E11062">
            <w:pPr>
              <w:pStyle w:val="Konzulensek"/>
            </w:pPr>
            <w:r w:rsidRPr="00DB4822">
              <w:t>  professor’s assistant, SE ÁOK</w:t>
            </w:r>
          </w:p>
        </w:tc>
      </w:tr>
      <w:tr w:rsidR="00DB4822" w:rsidTr="00DB4822">
        <w:tc>
          <w:tcPr>
            <w:tcW w:w="9854" w:type="dxa"/>
          </w:tcPr>
          <w:p w:rsidR="00DB4822" w:rsidRPr="00DB4822" w:rsidRDefault="00DB4822" w:rsidP="004D7940">
            <w:pPr>
              <w:pStyle w:val="Konzulensek"/>
            </w:pPr>
            <w:r w:rsidRPr="00DB4822">
              <w:t>Endre Zima, MD., PhD.</w:t>
            </w:r>
          </w:p>
          <w:p w:rsidR="00DB4822" w:rsidRDefault="00DB4822" w:rsidP="00E11062">
            <w:pPr>
              <w:pStyle w:val="Konzulensek"/>
            </w:pPr>
            <w:r w:rsidRPr="00DB4822">
              <w:t>  assistant professor,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Poly(ADP-ribose)polymerase (PARP) activation of human circulating leukocytes in chronic heart failure correlates with the severity of the disease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PARP is a eukaryotic nuclear enzyme participating in DNS repair and activated in response to DNS damage induced by oxidative-, nitrosative stress. For its NAD</w:t>
      </w:r>
      <w:r>
        <w:rPr>
          <w:color w:val="000000"/>
          <w:position w:val="4"/>
          <w:sz w:val="21"/>
          <w:szCs w:val="21"/>
          <w:vertAlign w:val="superscript"/>
        </w:rPr>
        <w:t xml:space="preserve">+</w:t>
      </w:r>
      <w:r>
        <w:rPr>
          <w:color w:val="000000"/>
          <w:sz w:val="24"/>
          <w:szCs w:val="24"/>
        </w:rPr>
        <w:t xml:space="preserve"> requisite, overactivation with depleting NAD</w:t>
      </w:r>
      <w:r>
        <w:rPr>
          <w:color w:val="000000"/>
          <w:position w:val="4"/>
          <w:sz w:val="21"/>
          <w:szCs w:val="21"/>
          <w:vertAlign w:val="superscript"/>
        </w:rPr>
        <w:t xml:space="preserve">+</w:t>
      </w:r>
      <w:r>
        <w:rPr>
          <w:color w:val="000000"/>
          <w:sz w:val="24"/>
          <w:szCs w:val="24"/>
        </w:rPr>
        <w:t xml:space="preserve"> cause energy deficit, cellular dysfunction and finally necrotic cell death. It is known, that in myocardial ischemia/reperfusion injury pronounced PARP activation can be found in the necrotic and periinfarct zones. In our previous study PARP activation was found in peripheral leukocyte samples isolated from cardiovascular patients with acute ST elevation myocardial infarction. The objective of our study is to measure PARP activation in human peripheral leukocytes of patients with chronic heart failure, and also to investigate the correlation between the enzyme activation and the severity of heart failure.</w:t>
      </w:r>
    </w:p>
    <w:p>
      <w:pPr>
        <w:widowControl w:val="on"/>
        <w:pBdr/>
        <w:spacing w:before="240" w:after="240" w:line="240" w:lineRule="auto"/>
        <w:ind w:left="0" w:right="0"/>
        <w:jc w:val="left"/>
      </w:pPr>
      <w:r>
        <w:rPr>
          <w:color w:val="000000"/>
          <w:sz w:val="24"/>
          <w:szCs w:val="24"/>
        </w:rPr>
        <w:t xml:space="preserve">Methods: Blood samples were taken from 12 heart failure patients (P) with low ejection fraction (EF&lt;40%) in stable cardiopulmonary status, and 12 age (P: 69±7,9 years; C: 63,3±9,9 years) and body mass index(BMI) (P: 28,3±1,5 kg/m2;C: 28,9±0,8 kg/m2) matched volunteers (C). Peripheral leukocytes were isolated using gradient centrifugation and smears were prepared for poly(ADP-ribose) (PAR) immunohistochemistry. PARP activity was analyzed using MBF ImageJ software in order to measure the ratio of positive cell area compared to total cell area. In parallel the following major laboratory parameters were documented: hematology, lipid panel, liver test, urea, creatinine, C-reactive protein (CRP), pro-B type natriuretic peptide (pro-BNP).</w:t>
      </w:r>
    </w:p>
    <w:p>
      <w:pPr>
        <w:widowControl w:val="on"/>
        <w:pBdr/>
        <w:spacing w:before="240" w:after="240" w:line="240" w:lineRule="auto"/>
        <w:ind w:left="0" w:right="0"/>
        <w:jc w:val="left"/>
      </w:pPr>
      <w:r>
        <w:rPr>
          <w:color w:val="000000"/>
          <w:sz w:val="24"/>
          <w:szCs w:val="24"/>
        </w:rPr>
        <w:t xml:space="preserve">Results: While in the patient group EF there was 25.2±2.1%, in the control group it was 60.3±1.6% (p&lt;0.01). Significance was also detected in pro-BNP levels evaluating the severity of heart failure (P: 3341±827.3 pg/ml; C: 158.5±31.1 pg/ml; p&lt;0.01). PAR positivity that shows PARP activation was significantly higher in the patient group (P: 40.7±7.2%; C: 12.5±5%; p&lt;0.05). Enzyme activation negatively correlated with ejection fraction (R=-0.49; p&lt;0.05), and showed positive correlation with pro-BNP values (R=0.66; p&lt;0.01).</w:t>
      </w:r>
    </w:p>
    <w:p>
      <w:pPr>
        <w:widowControl w:val="on"/>
        <w:pBdr/>
        <w:spacing w:before="240" w:after="240" w:line="240" w:lineRule="auto"/>
        <w:ind w:left="0" w:right="0"/>
        <w:jc w:val="left"/>
      </w:pPr>
      <w:r>
        <w:rPr>
          <w:color w:val="000000"/>
          <w:sz w:val="24"/>
          <w:szCs w:val="24"/>
        </w:rPr>
        <w:t xml:space="preserve">Conclusion: The current study provides the first evidence of significant PARP activation in human circulating leukocytes that also correlates with the severity of heart failure. Our observations may help in the better understanding of the complex pathomechanism of the disease. Considering the results further investigation of oxidative, nitrosative markers is planned.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145647">
    <w:multiLevelType w:val="hybridMultilevel"/>
    <w:lvl w:ilvl="0" w:tplc="669339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145647">
    <w:abstractNumId w:val="501456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36128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