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SYDÓ</w:t>
            </w:r>
          </w:p>
          <w:p w:rsidR="00C275A3" w:rsidRDefault="00A96AEC" w:rsidP="00C275A3">
            <w:pPr>
              <w:pStyle w:val="Hallgatokepzes"/>
            </w:pPr>
            <w:r>
              <w:t>general doctor</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Kiss M.D.</w:t>
            </w:r>
          </w:p>
          <w:p w:rsidR="00DB4822" w:rsidRDefault="00DB4822" w:rsidP="00E11062">
            <w:pPr>
              <w:pStyle w:val="Konzulensek"/>
            </w:pPr>
            <w:r w:rsidRPr="00DB4822">
              <w:t>  professor’s assistant, SE ÁOK</w:t>
            </w:r>
          </w:p>
        </w:tc>
      </w:tr>
      <w:tr w:rsidR="00DB4822" w:rsidTr="00DB4822">
        <w:tc>
          <w:tcPr>
            <w:tcW w:w="9854" w:type="dxa"/>
          </w:tcPr>
          <w:p w:rsidR="00DB4822" w:rsidRPr="00DB4822" w:rsidRDefault="00DB4822" w:rsidP="004D7940">
            <w:pPr>
              <w:pStyle w:val="Konzulensek"/>
            </w:pPr>
            <w:r w:rsidRPr="00DB4822">
              <w:t>Béla Merkely M.D.</w:t>
            </w:r>
          </w:p>
          <w:p w:rsidR="00DB4822" w:rsidRDefault="00DB4822" w:rsidP="00E11062">
            <w:pPr>
              <w:pStyle w:val="Konzulensek"/>
            </w:pPr>
            <w:r w:rsidRPr="00DB4822">
              <w: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physiological and pathological ECG changes considering the result of imaging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our country, ECG is a cornerstone of routine athletic screening. Its significance is based on the simplicity, quickness and high informative value as well as on the fact that the appearance of pathologic ECG signs can precede the formation of structural heart diseases years in advance.</w:t>
      </w:r>
    </w:p>
    <w:p>
      <w:pPr>
        <w:widowControl w:val="on"/>
        <w:pBdr/>
        <w:spacing w:before="240" w:after="240" w:line="240" w:lineRule="auto"/>
        <w:ind w:left="0" w:right="0"/>
        <w:jc w:val="left"/>
      </w:pPr>
      <w:r>
        <w:rPr>
          <w:color w:val="000000"/>
          <w:sz w:val="24"/>
          <w:szCs w:val="24"/>
        </w:rPr>
        <w:t xml:space="preserve">Aims: During screening of healthy athletes, we studied the incidence of athletic ECG changes and potentially pathologic ECG abnormalities independent of physical training. We also examined the correlations of specific ECG changes with certain echocardiographic and MR parameters.</w:t>
      </w:r>
    </w:p>
    <w:p>
      <w:pPr>
        <w:widowControl w:val="on"/>
        <w:pBdr/>
        <w:spacing w:before="240" w:after="240" w:line="240" w:lineRule="auto"/>
        <w:ind w:left="0" w:right="0"/>
        <w:jc w:val="left"/>
      </w:pPr>
      <w:r>
        <w:rPr>
          <w:color w:val="000000"/>
          <w:sz w:val="24"/>
          <w:szCs w:val="24"/>
        </w:rPr>
        <w:t xml:space="preserve">Methods: Following the detailed analysis of 12-lead ECG recordings of athletes and controls, we summarized echocardiographic measures of septal and posterior wall thickness and MR parameters of left ventricular (LV) mass and studied their relationship with ECG signs of left ventricular hypertrophy and repolarization changes.</w:t>
      </w:r>
    </w:p>
    <w:p>
      <w:pPr>
        <w:widowControl w:val="on"/>
        <w:pBdr/>
        <w:spacing w:before="240" w:after="240" w:line="240" w:lineRule="auto"/>
        <w:ind w:left="0" w:right="0"/>
        <w:jc w:val="left"/>
      </w:pPr>
      <w:r>
        <w:rPr>
          <w:color w:val="000000"/>
          <w:sz w:val="24"/>
          <w:szCs w:val="24"/>
        </w:rPr>
        <w:t xml:space="preserve">Results: 227 athletes (male:180, age:27.2±8.7years) and 89 control persons (male:57, age:28.1±6.8years) were examined. Sinus bradycardia, ECG signs connected with exercise training: early repolarisation and isolated Volt criteria of left ventricular hypertrophy and some potentially pathologic ECG signs such as T-wave changes (15,0% vs. 5,6%, p&lt;0.05), ST- changes (6,5% vs. 1,1%, p&lt;0.05) and signs of pathologic left ventricular hypertrophy (4.8% vs. 0%, p&lt;0.05) were more often in athletes compared to the control group. Signs of physiologic, as well as pathologic LV hypertrophy well correlated with the increase of posterior wall thickness and LV mass index (83.8g/m</w:t>
      </w:r>
      <w:r>
        <w:rPr>
          <w:color w:val="000000"/>
          <w:position w:val="4"/>
          <w:sz w:val="21"/>
          <w:szCs w:val="21"/>
          <w:vertAlign w:val="superscript"/>
        </w:rPr>
        <w:t xml:space="preserve">2</w:t>
      </w:r>
      <w:r>
        <w:rPr>
          <w:color w:val="000000"/>
          <w:sz w:val="24"/>
          <w:szCs w:val="24"/>
        </w:rPr>
        <w:t xml:space="preserve"> and 90.1g/m</w:t>
      </w:r>
      <w:r>
        <w:rPr>
          <w:color w:val="000000"/>
          <w:position w:val="4"/>
          <w:sz w:val="21"/>
          <w:szCs w:val="21"/>
          <w:vertAlign w:val="superscript"/>
        </w:rPr>
        <w:t xml:space="preserve">2</w:t>
      </w:r>
      <w:r>
        <w:rPr>
          <w:color w:val="000000"/>
          <w:sz w:val="24"/>
          <w:szCs w:val="24"/>
        </w:rPr>
        <w:t xml:space="preserve"> vs. 77.2g/m</w:t>
      </w:r>
      <w:r>
        <w:rPr>
          <w:color w:val="000000"/>
          <w:position w:val="4"/>
          <w:sz w:val="21"/>
          <w:szCs w:val="21"/>
          <w:vertAlign w:val="superscript"/>
        </w:rPr>
        <w:t xml:space="preserve">2</w:t>
      </w:r>
      <w:r>
        <w:rPr>
          <w:color w:val="000000"/>
          <w:sz w:val="24"/>
          <w:szCs w:val="24"/>
        </w:rPr>
        <w:t xml:space="preserve">, p&lt;0.05). The appearance of septal Q-waves also reflected the growth of LV mass and LV mass index (82.2g/m</w:t>
      </w:r>
      <w:r>
        <w:rPr>
          <w:color w:val="000000"/>
          <w:position w:val="4"/>
          <w:sz w:val="21"/>
          <w:szCs w:val="21"/>
          <w:vertAlign w:val="superscript"/>
        </w:rPr>
        <w:t xml:space="preserve">2</w:t>
      </w:r>
      <w:r>
        <w:rPr>
          <w:color w:val="000000"/>
          <w:sz w:val="24"/>
          <w:szCs w:val="24"/>
        </w:rPr>
        <w:t xml:space="preserve"> vs. 77.1g/m</w:t>
      </w:r>
      <w:r>
        <w:rPr>
          <w:color w:val="000000"/>
          <w:position w:val="4"/>
          <w:sz w:val="21"/>
          <w:szCs w:val="21"/>
          <w:vertAlign w:val="superscript"/>
        </w:rPr>
        <w:t xml:space="preserve">2</w:t>
      </w:r>
      <w:r>
        <w:rPr>
          <w:color w:val="000000"/>
          <w:sz w:val="24"/>
          <w:szCs w:val="24"/>
        </w:rPr>
        <w:t xml:space="preserve">, p&lt;0.05). Pathologic ST-abnormalities on the ECG correlated with LV mass and LV mass index (88.1g/m</w:t>
      </w:r>
      <w:r>
        <w:rPr>
          <w:color w:val="000000"/>
          <w:position w:val="4"/>
          <w:sz w:val="21"/>
          <w:szCs w:val="21"/>
          <w:vertAlign w:val="superscript"/>
        </w:rPr>
        <w:t xml:space="preserve">2</w:t>
      </w:r>
      <w:r>
        <w:rPr>
          <w:color w:val="000000"/>
          <w:sz w:val="24"/>
          <w:szCs w:val="24"/>
        </w:rPr>
        <w:t xml:space="preserve"> vs. 78.7g/m</w:t>
      </w:r>
      <w:r>
        <w:rPr>
          <w:color w:val="000000"/>
          <w:position w:val="4"/>
          <w:sz w:val="21"/>
          <w:szCs w:val="21"/>
          <w:vertAlign w:val="superscript"/>
        </w:rPr>
        <w:t xml:space="preserve">2</w:t>
      </w:r>
      <w:r>
        <w:rPr>
          <w:color w:val="000000"/>
          <w:sz w:val="24"/>
          <w:szCs w:val="24"/>
        </w:rPr>
        <w:t xml:space="preserve">, p&lt;0.05), T-wave changes correlated with septal wall thickness, max. dyastolic wall thickness (13.1mm vs. 12mm, p&lt;0.005) and LV mass index (87.4g/m</w:t>
      </w:r>
      <w:r>
        <w:rPr>
          <w:color w:val="000000"/>
          <w:position w:val="4"/>
          <w:sz w:val="21"/>
          <w:szCs w:val="21"/>
          <w:vertAlign w:val="superscript"/>
        </w:rPr>
        <w:t xml:space="preserve">2</w:t>
      </w:r>
      <w:r>
        <w:rPr>
          <w:color w:val="000000"/>
          <w:sz w:val="24"/>
          <w:szCs w:val="24"/>
        </w:rPr>
        <w:t xml:space="preserve"> vs. 78.0g/m</w:t>
      </w:r>
      <w:r>
        <w:rPr>
          <w:color w:val="000000"/>
          <w:position w:val="4"/>
          <w:sz w:val="21"/>
          <w:szCs w:val="21"/>
          <w:vertAlign w:val="superscript"/>
        </w:rPr>
        <w:t xml:space="preserve">2</w:t>
      </w:r>
      <w:r>
        <w:rPr>
          <w:color w:val="000000"/>
          <w:sz w:val="24"/>
          <w:szCs w:val="24"/>
        </w:rPr>
        <w:t xml:space="preserve">, p&lt;0.005) increase.</w:t>
      </w:r>
    </w:p>
    <w:p>
      <w:pPr>
        <w:widowControl w:val="on"/>
        <w:pBdr/>
        <w:spacing w:before="240" w:after="240" w:line="240" w:lineRule="auto"/>
        <w:ind w:left="0" w:right="0"/>
        <w:jc w:val="left"/>
      </w:pPr>
      <w:r>
        <w:rPr>
          <w:color w:val="000000"/>
          <w:sz w:val="24"/>
          <w:szCs w:val="24"/>
        </w:rPr>
        <w:t xml:space="preserve">Conclusions: Our results show that signs of pathologic LV hypertrophy and repolarisation abnormalities are diagnosed more often in athletes. Electrocardiographic changes reliably indicated the increase of LV hypertrophy proved by imaging diagnostic methods. Pathologic ECG changes of athletes are still not standardized. Exact definition and widespread knowledge of them is essential in early recognition of high risk athletes.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40653">
    <w:multiLevelType w:val="hybridMultilevel"/>
    <w:lvl w:ilvl="0" w:tplc="43512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40653">
    <w:abstractNumId w:val="54640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824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