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JANICSEK</w:t>
            </w:r>
          </w:p>
          <w:p w:rsidR="00C275A3" w:rsidRDefault="00A96AEC" w:rsidP="00C275A3">
            <w:pPr>
              <w:pStyle w:val="Hallgatokepzes"/>
            </w:pPr>
            <w:r>
              <w:t>medicine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Ádám G. Tabák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Gyula Tamás </w:t>
            </w:r>
          </w:p>
          <w:p w:rsidR="00DB4822" w:rsidRDefault="00DB4822" w:rsidP="00E11062">
            <w:pPr>
              <w:pStyle w:val="Konzulensek"/>
            </w:pPr>
            <w:r w:rsidRPr="00DB4822">
              <w:t>professor of medicine,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Serum interleukin-1-receptor antagonist levels in women with prior gestational diabetes mellitus and in control women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 – Soluble interleukin-1-receptor antagonist (IL1Ra) is the natural competitive inhibitor of interlukin-1, an independent predictor of type 2 diabetes, and its levels are elevated in prediabetic individuals. Its potential role in gestational diabetes (GDM – a prediabetic state) has not yet been investigated.</w:t>
      </w:r>
      <w:r>
        <w:rPr>
          <w:color w:val="000000"/>
          <w:sz w:val="24"/>
          <w:szCs w:val="24"/>
        </w:rPr>
        <w:br/>
        <w:t xml:space="preserve">Aims – To investigate the association (1) between IL1Ra levels and glucose intolerance during the index pregnancy 3 years before IL1Ra measurement, (2) and between IL1Ra levels and current glucose intolerance. (3) We also determined the independent covariates of serum IL1Ra levels.</w:t>
      </w:r>
      <w:r>
        <w:rPr>
          <w:color w:val="000000"/>
          <w:sz w:val="24"/>
          <w:szCs w:val="24"/>
        </w:rPr>
        <w:br/>
        <w:t xml:space="preserve">Setting – Case-control study nested in a cohort: early GDM (n=46, diagnosed between 16-20 weeks of gestation), late GDM (n=43, diagnosed between 24-28 weeks of gestation), controls (n=64). Women with known diabetes were excluded.</w:t>
      </w:r>
      <w:r>
        <w:rPr>
          <w:color w:val="000000"/>
          <w:sz w:val="24"/>
          <w:szCs w:val="24"/>
        </w:rPr>
        <w:br/>
        <w:t xml:space="preserve">Methods – IL1Ra measurement – Quantikine Human IL-1Ra Immunoassay. Glucose intolerance (GI, n=28) – impaired fasting glucose or impaired glucose tolerance based on a 75g oral glucose tolerance test. Other covariates: lifestyle, anthropometrics, blood pressure, blood lipids, C-reactive protein (CRP).</w:t>
      </w:r>
      <w:r>
        <w:rPr>
          <w:color w:val="000000"/>
          <w:sz w:val="24"/>
          <w:szCs w:val="24"/>
        </w:rPr>
        <w:br/>
        <w:t xml:space="preserve">Statistical methods – Multiple linear regression, dependent variable: IL1Ra.</w:t>
      </w:r>
      <w:r>
        <w:rPr>
          <w:color w:val="000000"/>
          <w:sz w:val="24"/>
          <w:szCs w:val="24"/>
        </w:rPr>
        <w:br/>
        <w:t xml:space="preserve">Results – The severity of GDM (early GDM &gt; late GDM &gt; control) was positively associated with age, blood pressure, 2-hour blood glucose, frequency of current GI, and negatively with height (all p for trend&lt;0.05). Serum IL1Ra concentration was positively related to the severity of GDM (median [interquartile range]): control 329 [266] vs. late GDM 353 [338] vs. early GDM 384 [225] ng/l (p for trend=0.028). Elevated IL1Ra levels were found in women with current GI compared to controls (728 [740] vs. 518 [569], p=0.03). In a model adjusted for current GI status prior GDM remained an independent predictor of current IL1Ra levels (β-attenuation: 21%). The independent covariates of IL1Ra levels were higher BMI, higher CRP, lower HDL-cholesterol levels (all p&lt;0.05).</w:t>
      </w:r>
      <w:r>
        <w:rPr>
          <w:color w:val="000000"/>
          <w:sz w:val="24"/>
          <w:szCs w:val="24"/>
        </w:rPr>
        <w:br/>
        <w:t xml:space="preserve">Conclusion – The anti-inflammatory process observed 3 years after a GDM pregnancy (independent of current metabolic status) may be a compensatory response to the inflammatory effects associated with this prediabetic event.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19133">
    <w:multiLevelType w:val="hybridMultilevel"/>
    <w:lvl w:ilvl="0" w:tplc="89664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19133">
    <w:abstractNumId w:val="65919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787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