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SZABÓ</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Putz MD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Péter Kempler MD</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Hypertension and sensory nerve dysfunction in long-standing and newly diagnosed Type 1 diabetes mellitus: is there a relationship?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of our study was to assess the connection between hypertension and peripheral sensory neuropathy in patients with long-standing and newly diagnosed Type 1 diabetes mellitus (T1DM).</w:t>
      </w:r>
    </w:p>
    <w:p>
      <w:pPr>
        <w:widowControl w:val="on"/>
        <w:pBdr/>
        <w:spacing w:before="240" w:after="240" w:line="240" w:lineRule="auto"/>
        <w:ind w:left="0" w:right="0"/>
        <w:jc w:val="left"/>
      </w:pPr>
      <w:r>
        <w:rPr>
          <w:color w:val="000000"/>
          <w:sz w:val="24"/>
          <w:szCs w:val="24"/>
        </w:rPr>
        <w:t xml:space="preserve">32 patients with long-standing (mean age: 37,8 + 12,7 years), 40 patients with newly diagnosed T1DM (mean age: 34,7 + 11,3 years) and 25 healthy volunteers (mean age: 38,3 + 12,8 years) were studied. According to medical history, 8 long-standing T1DM patients had hypertension.</w:t>
      </w:r>
    </w:p>
    <w:p>
      <w:pPr>
        <w:widowControl w:val="on"/>
        <w:pBdr/>
        <w:spacing w:before="240" w:after="240" w:line="240" w:lineRule="auto"/>
        <w:ind w:left="0" w:right="0"/>
        <w:jc w:val="left"/>
      </w:pPr>
      <w:r>
        <w:rPr>
          <w:color w:val="000000"/>
          <w:sz w:val="24"/>
          <w:szCs w:val="24"/>
        </w:rPr>
        <w:t xml:space="preserve">24-hour blood pressure monitoring was performed by Meditech ABPM04 device. Sensory nerve function was assessed by the Neurometer. Current perception threshold (CPT) was measured on median and peroneal nerves at three frequencies.</w:t>
      </w:r>
    </w:p>
    <w:p>
      <w:pPr>
        <w:widowControl w:val="on"/>
        <w:pBdr/>
        <w:spacing w:before="240" w:after="240" w:line="240" w:lineRule="auto"/>
        <w:ind w:left="0" w:right="0"/>
        <w:jc w:val="left"/>
      </w:pPr>
      <w:r>
        <w:rPr>
          <w:color w:val="000000"/>
          <w:sz w:val="24"/>
          <w:szCs w:val="24"/>
        </w:rPr>
        <w:t xml:space="preserve">Higher CPT values indicating hypaesthesia were found in hypertensive subjects compared to those with normotension (p&lt;0,01 for median at 250 kHz and for peroneal nerve at 5 Hz; p&lt;0,05 for median nerve at 5Hz). Analyzing the impact of hypertension and microalbuminuria on sensory nerve function separately, hypertension was independently associated with elevated CPT values: p&lt;0,01; p&lt;0,05 and p&lt;0,05 for 2kHz, 250Hz and 5Hz on median nerves.</w:t>
      </w:r>
    </w:p>
    <w:p>
      <w:pPr>
        <w:widowControl w:val="on"/>
        <w:pBdr/>
        <w:spacing w:before="240" w:after="240" w:line="240" w:lineRule="auto"/>
        <w:ind w:left="0" w:right="0"/>
        <w:jc w:val="left"/>
      </w:pPr>
      <w:r>
        <w:rPr>
          <w:color w:val="000000"/>
          <w:sz w:val="24"/>
          <w:szCs w:val="24"/>
        </w:rPr>
        <w:t xml:space="preserve">In the newly diagnosed T1DM patients the CPT values on median nerve at 5Hz correlated significantly with higher casual systolic blood pressure values (r=0,399; p=0,01). This association was independent of other risk factors.</w:t>
      </w:r>
    </w:p>
    <w:p>
      <w:pPr>
        <w:widowControl w:val="on"/>
        <w:pBdr/>
        <w:spacing w:before="240" w:after="240" w:line="240" w:lineRule="auto"/>
        <w:ind w:left="0" w:right="0"/>
        <w:jc w:val="left"/>
      </w:pPr>
      <w:r>
        <w:rPr>
          <w:color w:val="000000"/>
          <w:sz w:val="24"/>
          <w:szCs w:val="24"/>
        </w:rPr>
        <w:t xml:space="preserve">The decrease of systolic blood pressure after standing correlated significantly negatively with CPT values on the peroneal nerve at 2 kHz (r=-0,344, p=0,032), at 250 Hz (r=-0,389, p=0,014) and at 5Hz (r=-0,327, p=0,042).</w:t>
      </w:r>
    </w:p>
    <w:p>
      <w:pPr>
        <w:widowControl w:val="on"/>
        <w:pBdr/>
        <w:spacing w:before="240" w:after="240" w:line="240" w:lineRule="auto"/>
        <w:ind w:left="0" w:right="0"/>
        <w:jc w:val="left"/>
      </w:pPr>
      <w:r>
        <w:rPr>
          <w:color w:val="000000"/>
          <w:sz w:val="24"/>
          <w:szCs w:val="24"/>
        </w:rPr>
        <w:t xml:space="preserve">Sensory loss is independently associated with hypertension in long-standing and newly diagnosed T1DM as well. Patients with elevated blood pressure and orthostatic hypotension but no symptoms are also suggested to be screened for sensory impairment. Our data may support the role of vascular factors in developing peripheral neuropathy.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30565">
    <w:multiLevelType w:val="hybridMultilevel"/>
    <w:lvl w:ilvl="0" w:tplc="89284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30565">
    <w:abstractNumId w:val="43230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206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