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NORA ANNA SZEKELY</w:t>
            </w:r>
          </w:p>
          <w:p w:rsidR="00C275A3" w:rsidRDefault="00A96AEC" w:rsidP="00C275A3">
            <w:pPr>
              <w:pStyle w:val="Hallgatokepzes"/>
            </w:pPr>
            <w:r>
              <w:t>Faculty of Medicine</w:t>
            </w:r>
            <w:r>
              <w:br/>
            </w:r>
            <w:r w:rsidR="00E77B23">
              <w:t>Unified, 9. semester</w:t>
            </w:r>
          </w:p>
          <w:p w:rsidR="00C265CE" w:rsidRPr="009E5FF1" w:rsidRDefault="00E77B23" w:rsidP="00C275A3">
            <w:pPr>
              <w:pStyle w:val="Hallgatokepzes"/>
              <w:rPr>
                <w:b/>
                <w:caps/>
              </w:rPr>
            </w:pPr>
            <w:r>
              <w:t>Semmelweis University</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BALAZS ACS</w:t>
            </w:r>
          </w:p>
          <w:p w:rsidR="00DB4822" w:rsidRDefault="00C275A3" w:rsidP="004D7940">
            <w:pPr>
              <w:pStyle w:val="Hallgatokepzes"/>
            </w:pPr>
            <w:r>
              <w:t>Faculty of Medicine</w:t>
            </w:r>
            <w:r w:rsidR="00A96AEC">
              <w:br/>
              <w:t>Unified, 9. semester</w:t>
            </w:r>
          </w:p>
          <w:p w:rsidR="00DB4822" w:rsidRDefault="00DB4822" w:rsidP="004D7940">
            <w:pPr>
              <w:pStyle w:val="Hallgatointezmeny-kar"/>
            </w:pPr>
            <w:r>
              <w:t>Semmelweis University</w:t>
            </w:r>
          </w:p>
          <w:p w:rsidR="00C265CE" w:rsidRPr="009E5FF1" w:rsidRDefault="00DB4822" w:rsidP="004D7940">
            <w:pPr>
              <w:pStyle w:val="Hallgatointezmeny-kar"/>
              <w:rPr>
                <w:b/>
                <w:caps/>
              </w:rPr>
            </w:pPr>
            <w:r>
              <w:t>Faculty of Medicine</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Marcell Attlia Szasz Ph.D.</w:t>
            </w:r>
          </w:p>
          <w:p w:rsidR="00DB4822" w:rsidRDefault="00DB4822" w:rsidP="00E11062">
            <w:pPr>
              <w:pStyle w:val="Konzulensek"/>
            </w:pPr>
            <w:r w:rsidRPr="00DB4822">
              <w:t>research fellow, SE ÁOK</w:t>
            </w:r>
          </w:p>
        </w:tc>
      </w:tr>
      <w:tr w:rsidR="00DB4822" w:rsidTr="00DB4822">
        <w:tc>
          <w:tcPr>
            <w:tcW w:w="9854" w:type="dxa"/>
          </w:tcPr>
          <w:p w:rsidR="00DB4822" w:rsidRPr="00DB4822" w:rsidRDefault="00DB4822" w:rsidP="004D7940">
            <w:pPr>
              <w:pStyle w:val="Konzulensek"/>
            </w:pPr>
            <w:r w:rsidRPr="00DB4822">
              <w:t>Dr. Janina Kulka Ph.D.</w:t>
            </w:r>
          </w:p>
          <w:p w:rsidR="00DB4822" w:rsidRDefault="00DB4822" w:rsidP="00E11062">
            <w:pPr>
              <w:pStyle w:val="Konzulensek"/>
            </w:pPr>
            <w:r w:rsidRPr="00DB4822">
              <w:t>professor, SE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Identifying predictive factors in triple negative breast cancer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Breast cancer is a heterogeneous disease encompassing a variety of entities with distinct biological behaviors and sensitivities to therapy. In 2000, Perou et al. have defined the classic molecular subtypes using gene expression analyses. The “basal-like”, most frequently appears in the clinical oncology as triple negative breast cancer (TNBC) can be further divided into subtypes: a, basal b, claudin-low c, molecular apocrine d, HER2 enriched and e, luminal gene expression pattern subtype. The cDNS- array data suggest that claudin-low cancer group occurs with higher than expected incidence among the TNBC-s.</w:t>
      </w:r>
    </w:p>
    <w:p>
      <w:pPr>
        <w:widowControl w:val="on"/>
        <w:pBdr/>
        <w:spacing w:before="240" w:after="240" w:line="240" w:lineRule="auto"/>
        <w:ind w:left="0" w:right="0"/>
        <w:jc w:val="left"/>
      </w:pPr>
      <w:r>
        <w:rPr>
          <w:color w:val="000000"/>
          <w:sz w:val="24"/>
          <w:szCs w:val="24"/>
        </w:rPr>
        <w:t xml:space="preserve">Objective: The characterization of the immunhistochemical (IHC) features expressed by triple negative breast cancers based on the basal and claudin (CLDN) markers and assessing prognostic and predictive value of IHC expression results.</w:t>
      </w:r>
    </w:p>
    <w:p>
      <w:pPr>
        <w:widowControl w:val="on"/>
        <w:pBdr/>
        <w:spacing w:before="240" w:after="240" w:line="240" w:lineRule="auto"/>
        <w:ind w:left="0" w:right="0"/>
        <w:jc w:val="left"/>
      </w:pPr>
      <w:r>
        <w:rPr>
          <w:color w:val="000000"/>
          <w:sz w:val="24"/>
          <w:szCs w:val="24"/>
        </w:rPr>
        <w:t xml:space="preserve">Materials and Methods: The follow-up data and tumor samples were analyzed from 87 patients treated at the Radiology and Oncotherapy Clinic of Semmelweis University. On tissue microarray blocks we made detection for basal markers (CK5/6, CK14, EGFR, vimentin), CLDN-3, -4, -7, E-cadherin (ECDH), and CD44 stem cell marker with IHC procedure. The IHC reactions were evaluated on digitized slides. Hierarchical cluster analysis of the data was performed and the survival data were compared by Kaplan-Meier analysis.</w:t>
      </w:r>
    </w:p>
    <w:p>
      <w:pPr>
        <w:widowControl w:val="on"/>
        <w:pBdr/>
        <w:spacing w:before="240" w:after="240" w:line="240" w:lineRule="auto"/>
        <w:ind w:left="0" w:right="0"/>
        <w:jc w:val="left"/>
      </w:pPr>
      <w:r>
        <w:rPr>
          <w:color w:val="000000"/>
          <w:sz w:val="24"/>
          <w:szCs w:val="24"/>
        </w:rPr>
        <w:t xml:space="preserve">Results: Based on the IHC expression of CLDN we distinguished six subgroups of TNBC: 1) CLDN-4 high 2) CLDN-3, -4, -7 low and ECDH high 3) CLDN-3, -4, -7 high and ECDH high 4) CLDN-3 low 5) CLDN-7 low 6) CLDN-3, -7 low. The prognosis worsened in that order (p= 0,012). The IHC expression pattern of basal markers did not differ in the subgroups.</w:t>
      </w:r>
    </w:p>
    <w:p>
      <w:pPr>
        <w:widowControl w:val="on"/>
        <w:pBdr/>
        <w:spacing w:before="240" w:after="240" w:line="240" w:lineRule="auto"/>
        <w:ind w:left="0" w:right="0"/>
        <w:jc w:val="left"/>
      </w:pPr>
      <w:r>
        <w:rPr>
          <w:color w:val="000000"/>
          <w:sz w:val="24"/>
          <w:szCs w:val="24"/>
        </w:rPr>
        <w:t xml:space="preserve">Conclusion: Similar to data known from international literature, the CD44 stem cell marker expressed to a greater extent in the CLDN-3, -4, -7 low and ECDH high subgroup determined by IHC, but its prognosis was found to be more favorable in contrast previous studies. Between the subgroups established by CLDN profile significant difference was confirmed in terms of disease –free survival. Additionally, we found no association between the IHC expression patterns of basal and claudin markers.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433562">
    <w:multiLevelType w:val="hybridMultilevel"/>
    <w:lvl w:ilvl="0" w:tplc="877253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433562">
    <w:abstractNumId w:val="1543356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3547184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