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BARTHA</w:t>
            </w:r>
          </w:p>
          <w:p w:rsidR="00C275A3" w:rsidRDefault="00A96AEC" w:rsidP="00C275A3">
            <w:pPr>
              <w:pStyle w:val="Hallgatokepzes"/>
            </w:pPr>
            <w:r>
              <w:t>Medicine</w:t>
            </w:r>
            <w:r>
              <w:br/>
            </w:r>
            <w:r w:rsidR="00E77B23">
              <w:t>Unified, 6.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ZSÓFIA, SZTUPINSZKI</w:t>
            </w:r>
          </w:p>
          <w:p w:rsidR="00DB4822" w:rsidRDefault="00C275A3" w:rsidP="004D7940">
            <w:pPr>
              <w:pStyle w:val="Hallgatokepzes"/>
            </w:pPr>
            <w:r>
              <w:t>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Györffy MD</w:t>
            </w:r>
          </w:p>
          <w:p w:rsidR="00DB4822" w:rsidRDefault="00DB4822" w:rsidP="00E11062">
            <w:pPr>
              <w:pStyle w:val="Konzulensek"/>
            </w:pPr>
            <w:r w:rsidRPr="00DB4822">
              <w:t>  senior research fellow,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Classification of breast cancer patients using a training set comprising thousands of patients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Worldwide, breast cancer accounts for 23% of all cancers in women. In 2009, breast cancer caused 2200 deaths in Hungary.</w:t>
      </w:r>
      <w:r>
        <w:rPr>
          <w:color w:val="000000"/>
          <w:sz w:val="24"/>
          <w:szCs w:val="24"/>
        </w:rPr>
        <w:br/>
        <w:t xml:space="preserve">Recently established multigene arrays are designed to optimize the treatment of breast cancer by assessing the expected benefit from chemotherapy. These diagnostic tests (Mammaprint - MMP, Oncotype DX - ODX, Genomic Grade Index – GGI) use genelists to determine whether a patient has good or bad prognosis identified in a relatively small training cohort. The main advantage of the test is their objectivity, they are especially important for early-stage, lymph-node-negative, hormone-receptor-positive, HER2-receptor-negative patients.</w:t>
      </w:r>
    </w:p>
    <w:p>
      <w:pPr>
        <w:widowControl w:val="on"/>
        <w:pBdr/>
        <w:spacing w:before="240" w:after="240" w:line="240" w:lineRule="auto"/>
        <w:ind w:left="0" w:right="0"/>
        <w:jc w:val="left"/>
      </w:pPr>
      <w:r>
        <w:rPr>
          <w:color w:val="000000"/>
          <w:sz w:val="24"/>
          <w:szCs w:val="24"/>
        </w:rPr>
        <w:t xml:space="preserve">Our aim was to develop a new algorithm in R-enviroment for classification of breast cancer patients using a large scale genomic database.</w:t>
      </w:r>
    </w:p>
    <w:p>
      <w:pPr>
        <w:widowControl w:val="on"/>
        <w:pBdr/>
        <w:spacing w:before="240" w:after="240" w:line="240" w:lineRule="auto"/>
        <w:ind w:left="0" w:right="0"/>
        <w:jc w:val="left"/>
      </w:pPr>
      <w:r>
        <w:rPr>
          <w:color w:val="000000"/>
          <w:sz w:val="24"/>
          <w:szCs w:val="24"/>
        </w:rPr>
        <w:t xml:space="preserve">We analyzed gene expression data from 3534 breast cancers with clinical annotation including survival. To identify informative genes in the complete training cohort we computed Cox regression coefficient and developed new predictor comprising of the 25 strongest genes. This predictor was applied to all cases in a LOOCV manner.</w:t>
      </w:r>
      <w:r>
        <w:rPr>
          <w:color w:val="000000"/>
          <w:sz w:val="24"/>
          <w:szCs w:val="24"/>
        </w:rPr>
        <w:br/>
        <w:t xml:space="preserve">To determine the ODX prognostic classes for each patient we used our website : www.recurrenceonline.com , for GGI, MMP we used the genefu R package. For the comparison of our classification algorithm and the other prognostic tests we computed sensitivity, specificity and accuracy. Regarding all patients our classificator was more efficient compared to the previous ones (ODX: hazard ratio (HR)=2.6, p=1.1*10</w:t>
      </w:r>
      <w:r>
        <w:rPr>
          <w:color w:val="000000"/>
          <w:position w:val="4"/>
          <w:sz w:val="21"/>
          <w:szCs w:val="21"/>
          <w:vertAlign w:val="superscript"/>
        </w:rPr>
        <w:t xml:space="preserve">-39</w:t>
      </w:r>
      <w:r>
        <w:rPr>
          <w:color w:val="000000"/>
          <w:sz w:val="24"/>
          <w:szCs w:val="24"/>
        </w:rPr>
        <w:t xml:space="preserve">, MMP: HR=3.4, p=1.5*10</w:t>
      </w:r>
      <w:r>
        <w:rPr>
          <w:color w:val="000000"/>
          <w:position w:val="4"/>
          <w:sz w:val="21"/>
          <w:szCs w:val="21"/>
          <w:vertAlign w:val="superscript"/>
        </w:rPr>
        <w:t xml:space="preserve">-15</w:t>
      </w:r>
      <w:r>
        <w:rPr>
          <w:color w:val="000000"/>
          <w:sz w:val="24"/>
          <w:szCs w:val="24"/>
        </w:rPr>
        <w:t xml:space="preserve">, GGI: HR=2.1, p=2.2*10</w:t>
      </w:r>
      <w:r>
        <w:rPr>
          <w:color w:val="000000"/>
          <w:position w:val="4"/>
          <w:sz w:val="21"/>
          <w:szCs w:val="21"/>
          <w:vertAlign w:val="superscript"/>
        </w:rPr>
        <w:t xml:space="preserve">-38</w:t>
      </w:r>
      <w:r>
        <w:rPr>
          <w:color w:val="000000"/>
          <w:sz w:val="24"/>
          <w:szCs w:val="24"/>
        </w:rPr>
        <w:t xml:space="preserve">, our classification: HR=3.7, p=1.7*10</w:t>
      </w:r>
      <w:r>
        <w:rPr>
          <w:color w:val="000000"/>
          <w:position w:val="4"/>
          <w:sz w:val="21"/>
          <w:szCs w:val="21"/>
          <w:vertAlign w:val="superscript"/>
        </w:rPr>
        <w:t xml:space="preserve">-56</w:t>
      </w:r>
      <w:r>
        <w:rPr>
          <w:color w:val="000000"/>
          <w:sz w:val="24"/>
          <w:szCs w:val="24"/>
        </w:rPr>
        <w:t xml:space="preserve">). For clinical subgroups, such as ER and HER2 negative, chemotherapy treated patients ODX, MMP and GGI were not able to classify the patients of our database, but our classification succeeded ( HR=3.9, p=4.8*10</w:t>
      </w:r>
      <w:r>
        <w:rPr>
          <w:color w:val="000000"/>
          <w:position w:val="4"/>
          <w:sz w:val="21"/>
          <w:szCs w:val="21"/>
          <w:vertAlign w:val="superscript"/>
        </w:rPr>
        <w:t xml:space="preserve">-4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summary, the efficiency of our classification succeeds previous methods. Our results confirm the necessity to include several thousand patients to be able to generate a reliable and robust classificator. A prospective clinical trial should be organized in order to assess the clinical utility of our predictive signature.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98867">
    <w:multiLevelType w:val="hybridMultilevel"/>
    <w:lvl w:ilvl="0" w:tplc="61731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98867">
    <w:abstractNumId w:val="67298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629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