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PHAN HUONG LAN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Tőkés Anna-Mária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Kulka Janina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Fiatalkori és terhesség-asszociált emlőcarcinomák klinikopatológiai jellemzőinek és prognosztikai tényezőinek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fiatalkori (≤35 év) emlőcarcinoma, bár csupán 1-2%-át képezi az emlő daganatos megbetegedéseinek, incidenciája egyre növekvő tendenciát mutat.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Munkánk célja a fiatalkori emlődaganatok klinikopatológiai jellemzőinek vizsgálata, valamint a kiválasztott betegcsoporton belül a terhesség-asszociált emlődaganatok (PABC) és a terhességhez nem köthető emlőrákos megbetegedések (non-PABC) közötti hasonlóságok és különbségek felmérése.</w:t>
      </w:r>
      <w:r>
        <w:rPr>
          <w:color w:val="000000"/>
          <w:sz w:val="24"/>
          <w:szCs w:val="24"/>
        </w:rPr>
        <w:br/>
        <w:t xml:space="preserve">Beteganyag és módszerek:</w:t>
      </w:r>
      <w:r>
        <w:rPr>
          <w:color w:val="000000"/>
          <w:sz w:val="24"/>
          <w:szCs w:val="24"/>
        </w:rPr>
        <w:br/>
        <w:t xml:space="preserve">A SE II. sz. Patológiai Intézetében 1997 és 2011 között vizsgált eseteink közül 99 invazív emlőtumorral diagnosztizált 35 évnél fiatalabb nőbeteg adatainak retrospektív elemzését végeztük, melyek közül 15 eset volt PABC (diagnózis a terhesség alatt vagy postpartum egy éven belül). A klinikopatológiai jellemzőket, valamint a túlélési adatokat vizsgáltuk Khi-négyzet teszt ill. Kaplan-Meier-féle analízis segítségével. Immunfenotípus (ER, PgR, Ki67, HER2) alapján az ismert luminális A, luminális B, HER2+ és tripla negatív szubtípusokba soroltuk a betegeket.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vizsgált betegpopuláció átlagéletkora a diagnózisuk idejét tekintve 32±3 év volt. Az átlagos betegkövetési idő 53 hónap volt. A különböző szubtípusok előfordulását, a tumor méretét, a nyirokcsomó érintettséget, a tumor grade-t és az össztúlélést tekintve a PABC és non-PABC esetek között nem találtunk szignifikáns különbséget (p=0,172; p=0,898; p=0,198; p=0,319 és p=0,913). A luminális (ER+) eseteket vizsgálva szignifikánsan magasabb volt a PgR-t alacsonyan expresszáló (&lt;10%) tumorok száma a PABC csoportban (p=0,026), de az össztúlélést elemezve nem mutatkozott szignifikáns különbség (p=0,217) a PgR-t magasan és alacsonyan expresszáló tumorok között. A túlélési görbék azonban kedvezőtlenebb tendenciát mutattak a PgR-t kevéssé expresszáló tumorok esetében. Összesen 66 esetben volt ismert a terápia típusa, ebből 25 esetben neoadjuváns, 41 esetben adjuváns kemoterápiás kezelést alkalmaztak. Az alkalmazott kezelésekkel összefüggésben sem találtunk szignifikáns különbséget az össztúlélésben (p=0,098), de hosszabb távon (&gt;40 hónap) a neoadjuvánsan kezelt betegek túlélési görbéi kedvezőbb tendenciát mutattak.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Kis esetszámú vizsgálatunkban a PABC betegek nem mutattak szignifikánsan rosszabb prognózist a non-PABC betegeinkhez képest. Továbbá megállapíthatjuk, hogy hosszabb távon a neoadjuváns kezelésben részesülő betegeink túlélési görbéinek kedvezőbb tendenciája volt megfigyelhető.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01803">
    <w:multiLevelType w:val="hybridMultilevel"/>
    <w:lvl w:ilvl="0" w:tplc="83152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01803">
    <w:abstractNumId w:val="59301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70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