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HUONG LAN PHAN</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Anna-Maria Tokes</w:t>
            </w:r>
          </w:p>
          <w:p w:rsidR="00DB4822" w:rsidRDefault="00DB4822" w:rsidP="00E11062">
            <w:pPr>
              <w:pStyle w:val="Konzulensek"/>
            </w:pPr>
            <w:r w:rsidRPr="00DB4822">
              <w:t>senior research fellow, SE ÁOK</w:t>
            </w:r>
          </w:p>
        </w:tc>
      </w:tr>
      <w:tr w:rsidR="00DB4822" w:rsidTr="00DB4822">
        <w:tc>
          <w:tcPr>
            <w:tcW w:w="9854" w:type="dxa"/>
          </w:tcPr>
          <w:p w:rsidR="00DB4822" w:rsidRPr="00DB4822" w:rsidRDefault="00DB4822" w:rsidP="004D7940">
            <w:pPr>
              <w:pStyle w:val="Konzulensek"/>
            </w:pPr>
            <w:r w:rsidRPr="00DB4822">
              <w:t>Prof. Janina Kulka</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Clinicopathological and prognostic characteristics of early-onset and pregnancy associated breast cancer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w:t>
      </w:r>
      <w:r>
        <w:rPr>
          <w:color w:val="000000"/>
          <w:sz w:val="24"/>
          <w:szCs w:val="24"/>
        </w:rPr>
        <w:br/>
        <w:t xml:space="preserve">Approximately 1-2% of all breast cancer cases are diagnosed at a young age (≤35 years). However, recent data have shown an increase in breast cancer incidence among young women.</w:t>
      </w:r>
      <w:r>
        <w:rPr>
          <w:color w:val="000000"/>
          <w:sz w:val="24"/>
          <w:szCs w:val="24"/>
        </w:rPr>
        <w:br/>
        <w:t xml:space="preserve">Objective:</w:t>
      </w:r>
      <w:r>
        <w:rPr>
          <w:color w:val="000000"/>
          <w:sz w:val="24"/>
          <w:szCs w:val="24"/>
        </w:rPr>
        <w:br/>
        <w:t xml:space="preserve">The aim of our study was to analyse clinicopathological features of breast cancer affecting young women, and to compare the characteristics of pregnancy-associated breast cancer (PABC) and cases that were not associated with pregnancy (non-PABC).</w:t>
      </w:r>
      <w:r>
        <w:rPr>
          <w:color w:val="000000"/>
          <w:sz w:val="24"/>
          <w:szCs w:val="24"/>
        </w:rPr>
        <w:br/>
        <w:t xml:space="preserve">Materials and methods:</w:t>
      </w:r>
      <w:r>
        <w:rPr>
          <w:color w:val="000000"/>
          <w:sz w:val="24"/>
          <w:szCs w:val="24"/>
        </w:rPr>
        <w:br/>
        <w:t xml:space="preserve">Retrospective analysis was performed on 99 breast cancer patients diagnosed with invasive breast carcinoma at or under the age of 35 years. Cases were selected from the database of the 2nd Department of Pathology of Semmelweis University between 1997 and 2011. A total of 15 cases were PABCs (diagnosis during pregnancy or post-partum within one year). We examined the clinicopathological and survival characteristics of these patients using Chi-square test and Kaplan-Meier analysis. Cases were classified into the luminal A, luminal B, HER2+ and triple negative subtypes based on their ER, PgR, Ki67 and HER2 status.</w:t>
      </w:r>
      <w:r>
        <w:rPr>
          <w:color w:val="000000"/>
          <w:sz w:val="24"/>
          <w:szCs w:val="24"/>
        </w:rPr>
        <w:br/>
        <w:t xml:space="preserve">Results:</w:t>
      </w:r>
      <w:r>
        <w:rPr>
          <w:color w:val="000000"/>
          <w:sz w:val="24"/>
          <w:szCs w:val="24"/>
        </w:rPr>
        <w:br/>
        <w:t xml:space="preserve">The mean age of our patients at diagnosis was 32±3 years. Patients included in the study were followed for a mean period of 53 months. No statistically significant difference was found between the PABC and non-PABC groups in terms of subtype distribution, tumour size, lymph node involvement, tumour grade and overall survival (p=0.172; p=0.898; p=0.198; p=0.319 and p=0.913). Examination of luminal (ER+) tumours showed that PABCs were significantly more often associated with lower expression of PgR (&lt;10%) compared with non-PABCs (p=0.026). Although the difference between overall survival rates of PgR-low and PgR-high cases did not reach significance (p=0.217), PgR-low cases tended to have poorer prognosis. Among the 66 cases in which treatment data were available, 25 patients were treated with neoadjuvant chemotherapy, whereas 41 patients received adjuvant chemotherapy. No significant differences were detectable in overall survival rates between the applied therapies (p=0.098), although there was a tendency showing long term (&gt;40 months) benefits of neoadjuvant therapy.</w:t>
      </w:r>
      <w:r>
        <w:rPr>
          <w:color w:val="000000"/>
          <w:sz w:val="24"/>
          <w:szCs w:val="24"/>
        </w:rPr>
        <w:br/>
        <w:t xml:space="preserve">Conclusions:</w:t>
      </w:r>
      <w:r>
        <w:rPr>
          <w:color w:val="000000"/>
          <w:sz w:val="24"/>
          <w:szCs w:val="24"/>
        </w:rPr>
        <w:br/>
        <w:t xml:space="preserve">In our study performed on a limited number of young breast cancer patients we could not find significantly poorer prognosis of PABC patients compared with non-PABC cases. Furthermore, our results also demonstrate a tendency of long term beneficial effect of neoadjuvant chemotherapy.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64820">
    <w:multiLevelType w:val="hybridMultilevel"/>
    <w:lvl w:ilvl="0" w:tplc="70046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64820">
    <w:abstractNumId w:val="85064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41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