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TAMÁS DAHER</w:t>
            </w:r>
          </w:p>
          <w:p w:rsidR="00C275A3" w:rsidRDefault="00A96AEC" w:rsidP="00C275A3">
            <w:pPr>
              <w:pStyle w:val="Hallgatokepzes"/>
            </w:pPr>
            <w:r>
              <w:t>Medicine</w:t>
            </w:r>
            <w:r>
              <w:br/>
            </w:r>
            <w:r w:rsidR="00E77B23">
              <w:t>Unified, 10. semester</w:t>
            </w:r>
          </w:p>
          <w:p w:rsidR="00C265CE" w:rsidRPr="009E5FF1" w:rsidRDefault="00E77B23" w:rsidP="00C275A3">
            <w:pPr>
              <w:pStyle w:val="Hallgatokepzes"/>
              <w:rPr>
                <w:b/>
                <w:caps/>
              </w:rPr>
            </w:pPr>
            <w:r>
              <w:t>Semmelweis University</w:t>
            </w:r>
            <w:r w:rsidR="00C275A3">
              <w:br/>
            </w:r>
            <w:r w:rsidR="00DB4822">
              <w:t>Faculty of Medicine</w:t>
            </w:r>
          </w:p>
        </w:tc>
        <w:tc>
          <w:tcPr>
            <w:tcW w:w="4914" w:type="dxa"/>
          </w:tcPr>
          <w:p w:rsidR="00DB4822" w:rsidRPr="00DB4822" w:rsidRDefault="00DB4822" w:rsidP="004D7940">
            <w:pPr>
              <w:pStyle w:val="Hallgatonev"/>
              <w:rPr>
                <w:caps/>
              </w:rPr>
            </w:pPr>
            <w:r w:rsidRPr="00DB4822">
              <w:rPr>
                <w:caps/>
              </w:rPr>
              <w:t>GÁBOR STÁNICZ</w:t>
            </w:r>
          </w:p>
          <w:p w:rsidR="00DB4822" w:rsidRDefault="00C275A3" w:rsidP="004D7940">
            <w:pPr>
              <w:pStyle w:val="Hallgatokepzes"/>
            </w:pPr>
            <w:r>
              <w:t>Medicine</w:t>
            </w:r>
            <w:r w:rsidR="00A96AEC">
              <w:br/>
              <w:t>Unified, 10. semester</w:t>
            </w:r>
          </w:p>
          <w:p w:rsidR="00DB4822" w:rsidRDefault="00DB4822" w:rsidP="004D7940">
            <w:pPr>
              <w:pStyle w:val="Hallgatointezmeny-kar"/>
            </w:pPr>
            <w:r>
              <w:t>Semmelweis University</w:t>
            </w:r>
          </w:p>
          <w:p w:rsidR="00C265CE" w:rsidRPr="009E5FF1" w:rsidRDefault="00DB4822" w:rsidP="004D7940">
            <w:pPr>
              <w:pStyle w:val="Hallgatointezmeny-kar"/>
              <w:rPr>
                <w:b/>
                <w:caps/>
              </w:rPr>
            </w:pPr>
            <w:r>
              <w:t>Faculty of Medicine</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Péter Nagy</w:t>
            </w:r>
          </w:p>
          <w:p w:rsidR="00DB4822" w:rsidRDefault="00DB4822" w:rsidP="00E11062">
            <w:pPr>
              <w:pStyle w:val="Konzulensek"/>
            </w:pPr>
            <w:r w:rsidRPr="00DB4822">
              <w:t>professor, SE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Favourable consequences of Imatinib in an experimental model of chronic liver injury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Progenitor cell derived ductular reaction and increased accumulation of extracellular matrix (ECM) can often be seen together in chronic liver diseases. While the ductular reaction is mostly regarded as a beneficial, regenerative process, the fibrosis clearly has adverse consequences and can lead to the development of cirrhosis. If diverse regulatory elements of these two processes could be identified, that would help us promote regeneration without the enhancement of fibrosis.</w:t>
      </w:r>
    </w:p>
    <w:p>
      <w:pPr>
        <w:widowControl w:val="on"/>
        <w:pBdr/>
        <w:spacing w:before="240" w:after="240" w:line="240" w:lineRule="auto"/>
        <w:ind w:left="0" w:right="0"/>
        <w:jc w:val="left"/>
      </w:pPr>
      <w:r>
        <w:rPr>
          <w:color w:val="000000"/>
          <w:sz w:val="24"/>
          <w:szCs w:val="24"/>
        </w:rPr>
        <w:t xml:space="preserve">Chronic liver injury was induced by choline deficient, ethionine supplemented (CDE) diet in mice. In this well characterised experimental model, parenchymal injury induces intense ductular reaction and progressive fibrosis as well. We were curious how Imatinib mesylate (IM), a well-known tyrosine kinase inhibitor and TGFβ could influence this complex tissue reaction.</w:t>
      </w:r>
    </w:p>
    <w:p>
      <w:pPr>
        <w:widowControl w:val="on"/>
        <w:pBdr/>
        <w:spacing w:before="240" w:after="240" w:line="240" w:lineRule="auto"/>
        <w:ind w:left="0" w:right="0"/>
        <w:jc w:val="left"/>
      </w:pPr>
      <w:r>
        <w:rPr>
          <w:color w:val="000000"/>
          <w:sz w:val="24"/>
          <w:szCs w:val="24"/>
        </w:rPr>
        <w:t xml:space="preserve">The impact of TGFβ was studied in transgenic mice overexpressing active form of this growth factor in their liver. Four experimental groups were formed: I. wild type mice (control); II. Imanitib treated wild type mice; III. TGFβ transgenic mice; IV Imanitib treated transgenic mice. The animals of each group were kept on the CDE diet for 6 weeks. The extent of the ductular reaction and fibrosis was studied by morphometric examination of histological sections. The ductular reaction was characterised by measuring the CK19 positive area following immunofluorescent staining, while the are occupied by the deposited ECM was determined by examining picrosirius stained sections.</w:t>
      </w:r>
    </w:p>
    <w:p>
      <w:pPr>
        <w:widowControl w:val="on"/>
        <w:pBdr/>
        <w:spacing w:before="240" w:after="240" w:line="240" w:lineRule="auto"/>
        <w:ind w:left="0" w:right="0"/>
        <w:jc w:val="left"/>
      </w:pPr>
      <w:r>
        <w:rPr>
          <w:color w:val="000000"/>
          <w:sz w:val="24"/>
          <w:szCs w:val="24"/>
        </w:rPr>
        <w:t xml:space="preserve">Both IM treatment and increased TGFβ production resulted in the shrinkage of area occupied by the ductular structures. However, following the combined treatment (group IV), it became obvious that this reduction could be at least partially explained by the hepatocytic differentiation of the ductules. Additionally, IM was able to significantly decrease the extent of fibrotic area not only in wild type, but also in transgenic mice.</w:t>
      </w:r>
    </w:p>
    <w:p>
      <w:pPr>
        <w:widowControl w:val="on"/>
        <w:pBdr/>
        <w:spacing w:before="240" w:after="240" w:line="240" w:lineRule="auto"/>
        <w:ind w:left="0" w:right="0"/>
        <w:jc w:val="left"/>
      </w:pPr>
      <w:r>
        <w:rPr>
          <w:color w:val="000000"/>
          <w:sz w:val="24"/>
          <w:szCs w:val="24"/>
        </w:rPr>
        <w:t xml:space="preserve">In conclusion, the combination of Imatinib treatment and overproduction of TGFβ was able to promote the hepatocytic differentiation of hepatic progenitor cells, while also reducing the associated fibrosis. According to this observation, it is possible that Imatinib, a drug being used successfully in the treatment of many other diseases, is able to positively affect the outcome of chronic liver injuries.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1415008">
    <w:multiLevelType w:val="hybridMultilevel"/>
    <w:lvl w:ilvl="0" w:tplc="12134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1415008">
    <w:abstractNumId w:val="6141500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252266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