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BOJTOS</w:t>
            </w:r>
          </w:p>
          <w:p w:rsidR="00C275A3" w:rsidRDefault="00A96AEC" w:rsidP="00C275A3">
            <w:pPr>
              <w:pStyle w:val="Hallgatokepzes"/>
            </w:pPr>
            <w:r>
              <w:t>Medical Doctor</w:t>
            </w:r>
            <w:r>
              <w:br/>
            </w:r>
            <w:r w:rsidR="00E77B23">
              <w:t>Unified, 10.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Loránd Erőss PhD</w:t>
            </w:r>
          </w:p>
          <w:p w:rsidR="00DB4822" w:rsidRDefault="00DB4822" w:rsidP="00E11062">
            <w:pPr>
              <w:pStyle w:val="Konzulensek"/>
            </w:pPr>
            <w:r w:rsidRPr="00DB4822">
              <w:t>Associate professor,  National Institute Of Neurosciences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Deep brain stimulation in movement disorders: the determination of the accuracy of the electrode insertion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neuromodulation treatment of different movement disorders (Parkison disease, Essential tremor, Dystonia) means the stimulation of the deep cerebral structures. Electrode target applied by our working party the most in Parkinson's disease the nucleus subthalamicus (STN), in essential tremor the nucleus ventralis intermedius thalami (VIM), in dystonia though the globus pallidus internus (GPi) To determine the accuracy of the electrode implantation we compare the preoperative planned coordinates of our leads to the postoperative position of the electrodes with the help of a post-operative CT examination.</w:t>
      </w:r>
      <w:r>
        <w:rPr>
          <w:color w:val="000000"/>
          <w:sz w:val="24"/>
          <w:szCs w:val="24"/>
        </w:rPr>
        <w:br/>
        <w:t xml:space="preserve">Objectives: Our present examination compares the preoperative coordinates of the planned target and the place of the electrode after implantation.</w:t>
      </w:r>
      <w:r>
        <w:rPr>
          <w:color w:val="000000"/>
          <w:sz w:val="24"/>
          <w:szCs w:val="24"/>
        </w:rPr>
        <w:br/>
        <w:t xml:space="preserve">Methods: With the fusion of the preoperative MRI and the preoperative stereotactic CT we identifed coordinates of our target. With the fusion of the preoperative stereotactic CT and the postoperative CT and we were able to obtain the coordinates of the implanted electrodes and compared them to the coordinates of the target. Following this we identified the position of the lead in the anatomic structure with fusion of the preoperative MR pictures and the postop. CT.</w:t>
      </w:r>
      <w:r>
        <w:rPr>
          <w:color w:val="000000"/>
          <w:sz w:val="24"/>
          <w:szCs w:val="24"/>
        </w:rPr>
        <w:br/>
        <w:t xml:space="preserve">Results: Seven people suffer in Parkinson's disease (age 61,4 years) and three people in dystonia (age 26 years). from the examined cases. The evrage distances of the leads 0 electrode from the planned target were 2,58 mm in STN, and 2,1 mm in GPi.</w:t>
      </w:r>
      <w:r>
        <w:rPr>
          <w:color w:val="000000"/>
          <w:sz w:val="24"/>
          <w:szCs w:val="24"/>
        </w:rPr>
        <w:br/>
        <w:t xml:space="preserve">Conclusions: Our patients symptoms with PD improved more than the symptoms of the dystonic patients after DBS therapy. The average difference between the planned coordinate of our targets and the coordinates of the 0 contact of our leads were 2,27 mm +/- 0,79 mm (volume error). which is in the range – even better - of what Fiegele and his collegues published int he international literature (3,15mm +/- 1,69mm) (Fiegele, Feuchtner et al. 2008).</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538762">
    <w:multiLevelType w:val="hybridMultilevel"/>
    <w:lvl w:ilvl="0" w:tplc="190196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538762">
    <w:abstractNumId w:val="635387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76827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