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BARTOS</w:t>
            </w:r>
          </w:p>
          <w:p w:rsidR="00C275A3" w:rsidRDefault="00A96AEC" w:rsidP="00C275A3">
            <w:pPr>
              <w:pStyle w:val="Hallgatokepzes"/>
            </w:pPr>
            <w:r>
              <w:t>Faculty of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Levay</w:t>
            </w:r>
          </w:p>
          <w:p w:rsidR="00DB4822" w:rsidRDefault="00DB4822" w:rsidP="00E11062">
            <w:pPr>
              <w:pStyle w:val="Konzulensek"/>
            </w:pPr>
            <w:r w:rsidRPr="00DB4822">
              <w:t>  professor’s assistant, SE ÁOK</w:t>
            </w:r>
          </w:p>
        </w:tc>
      </w:tr>
      <w:tr w:rsidR="00DB4822" w:rsidTr="00DB4822">
        <w:tc>
          <w:tcPr>
            <w:tcW w:w="9854" w:type="dxa"/>
          </w:tcPr>
          <w:p w:rsidR="00DB4822" w:rsidRPr="00DB4822" w:rsidRDefault="00DB4822" w:rsidP="004D7940">
            <w:pPr>
              <w:pStyle w:val="Konzulensek"/>
            </w:pPr>
            <w:r w:rsidRPr="00DB4822">
              <w:t>Erzsebet Ligeti</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role of p190RhoGAP in cell functions regulated by Rac and Rho small G proteins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P190RhoGAP is a specific regulator of Rho family small G proteins (Rho, Rac, Cdc42). It has been reported that p190 can enhance the GTPase activity of Rho. In our previous experiments we showed that it has also an in vivo RacGAP activity in which regulation the polibasic region (PBR) of p190 has an important role. In the present study we investigated the role of p190 in cell functions associated with Rho and Rac.</w:t>
      </w:r>
      <w:r>
        <w:rPr>
          <w:color w:val="000000"/>
          <w:sz w:val="24"/>
          <w:szCs w:val="24"/>
        </w:rPr>
        <w:br/>
        <w:t xml:space="preserve">To investigate the endogenous RacGAP activity of p190 in knocked out mice embrionic fibrobalst cells (KO MEF) we used pull-down experiments. We precipitated the active GTP-bound Rac with p21-activated kinase (PAC) from the cell-lysate of p190 KO and wild type MEF cells. In our transfection experiments we used three types of p190 constructs: the wild-type, the p190 which lost its PBR and the catalically inactive p190 made by site-directed mutation of the arginin essential for GTPase activity. We cloned the genes coded these proteins into ECFP-C1 and EGFP-C1 vectors. With these constracts we transfected COS-7 and COSphoxFcγR cells. To investigate phagocytosis we used COSphoxFcγR cells which stably express the FcγRIIa receptor. We measured the phagocytic uptake of pooled human serum opsonised yeast labelled with cell tracker red. We investigated the stress-fibre formation in COS-7 cells after lisophospatic acid stimulation.</w:t>
      </w:r>
      <w:r>
        <w:rPr>
          <w:color w:val="000000"/>
          <w:sz w:val="24"/>
          <w:szCs w:val="24"/>
        </w:rPr>
        <w:br/>
        <w:t xml:space="preserve">In our pull-down experiments we observed that in p190KO MEF cells the amount of GTP-bound active Rac was significantly higher compared to the control cells. Overexpressed wild-type p190 could significantly inhibit the phagocytosis of serum opsonised yeast. Mutation of the GAP and the PBR domains of p190 abolished its effect on phagocytosis. The ratio of cells that showed Rho-associated stress-fibre formation decreased due to the overexpression of the wild-type and the PBR-mutant p190. This change of phenotype happened in a lower ratio in cells expressed the mutant GAP domain containing construct. We observed increased multinucleation in cells expressing p190 and furthermore that the p190KO MEF cells devided more rapidly than the controll cells.</w:t>
      </w:r>
      <w:r>
        <w:rPr>
          <w:color w:val="000000"/>
          <w:sz w:val="24"/>
          <w:szCs w:val="24"/>
        </w:rPr>
        <w:br/>
        <w:t xml:space="preserve">Taken together in our modell-cells the changes of cell response associated with Rac and Rho definitely suggested that the p190, beside its known RhoGAP activity, has an in vivo RacGAP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61112">
    <w:multiLevelType w:val="hybridMultilevel"/>
    <w:lvl w:ilvl="0" w:tplc="88881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61112">
    <w:abstractNumId w:val="80161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012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