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BARTHA</w:t>
            </w:r>
          </w:p>
          <w:p w:rsidR="00C275A3" w:rsidRDefault="00A96AEC" w:rsidP="00C275A3">
            <w:pPr>
              <w:pStyle w:val="Hallgatokepzes"/>
            </w:pPr>
            <w:r>
              <w:t>Basic medicine</w:t>
            </w:r>
            <w:r>
              <w:br/>
            </w:r>
            <w:r w:rsidR="00E77B23">
              <w:t>Unified, 6.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ZSÓFIA, SZTUPINSZKI</w:t>
            </w:r>
          </w:p>
          <w:p w:rsidR="00DB4822" w:rsidRDefault="00C275A3" w:rsidP="004D7940">
            <w:pPr>
              <w:pStyle w:val="Hallgatokepzes"/>
            </w:pPr>
            <w:r>
              <w:t>Basic medicine</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Győrffy Md.</w:t>
            </w:r>
          </w:p>
          <w:p w:rsidR="00DB4822" w:rsidRDefault="00DB4822" w:rsidP="00E11062">
            <w:pPr>
              <w:pStyle w:val="Konzulensek"/>
            </w:pPr>
            <w:r w:rsidRPr="00DB4822">
              <w:t>  senior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NFATC2IP a new biomarker candidate of carboplatin resistance in ovarian cancer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ovarian cancer has the second highest mortality among gynecologic cancers. Systemic first line chemotherapy comprises a combination of carboplatin and a taxane. However, but 25% of patients relapse before 6 months and 75% before 2 years.</w:t>
      </w:r>
    </w:p>
    <w:p>
      <w:pPr>
        <w:widowControl w:val="on"/>
        <w:pBdr/>
        <w:spacing w:before="240" w:after="240" w:line="240" w:lineRule="auto"/>
        <w:ind w:left="0" w:right="0"/>
        <w:jc w:val="left"/>
      </w:pPr>
      <w:r>
        <w:rPr>
          <w:color w:val="000000"/>
          <w:sz w:val="24"/>
          <w:szCs w:val="24"/>
        </w:rPr>
        <w:t xml:space="preserve">Our aim was to indentify and validate new gene expression based biomarker candidates predicting carboplatin resistance in ovarian cancer cells.</w:t>
      </w:r>
    </w:p>
    <w:p>
      <w:pPr>
        <w:widowControl w:val="on"/>
        <w:pBdr/>
        <w:spacing w:before="240" w:after="240" w:line="240" w:lineRule="auto"/>
        <w:ind w:left="0" w:right="0"/>
        <w:jc w:val="left"/>
      </w:pPr>
      <w:r>
        <w:rPr>
          <w:color w:val="000000"/>
          <w:sz w:val="24"/>
          <w:szCs w:val="24"/>
        </w:rPr>
        <w:t xml:space="preserve">Materials and methods: We used OVCAR3 cell lines, which were kept at 37°C and 5% CO2. Passage of the cells was done twice weekly, we controlled mycoplasma contamination with PCR. RNA was isolated using a Qiagen RNAeasy kit. The expression of the NFATC2IP was measured by PCR, the primers were designed with the Primer3 algorithm. The IC50 values of the resistance against carboplatin was defined by using an MTT test. The cells were transfected with lipofectamine transfection reagent. Two different oligos were used to silence the gene. The role of the NFATC2IP in resistance was investigated by simultaneous carboplatin treatment and RNA silencing. Statistical significance was computed using a t-test, the cutoff for significance was set at p=0.05.</w:t>
      </w:r>
    </w:p>
    <w:p>
      <w:pPr>
        <w:widowControl w:val="on"/>
        <w:pBdr/>
        <w:spacing w:before="240" w:after="240" w:line="240" w:lineRule="auto"/>
        <w:ind w:left="0" w:right="0"/>
        <w:jc w:val="left"/>
      </w:pPr>
      <w:r>
        <w:rPr>
          <w:color w:val="000000"/>
          <w:sz w:val="24"/>
          <w:szCs w:val="24"/>
        </w:rPr>
        <w:t xml:space="preserve">Results: The NFATC2IP gene was identified with ROC analysis using gene expression data of 1090 patients (AUC=0.67, p&lt;1e-16). In the OVCAR2 cell line the normalized absorbance of the scramble control was 0.051±0.005, which decreased after carboplatin treatment to 0.032 ±0.006. In Silencing with the N1 oligo decreased this from 0.076±0.006 to 0.038±0.001. Silencing with the N2 oligo resulted in a decrease from 0.051±0.002 to 0.035±0.002. The difference was significant between scramble the control and the N1 oligo (p=0.0037).</w:t>
      </w:r>
    </w:p>
    <w:p>
      <w:pPr>
        <w:widowControl w:val="on"/>
        <w:pBdr/>
        <w:spacing w:before="240" w:after="240" w:line="240" w:lineRule="auto"/>
        <w:ind w:left="0" w:right="0"/>
        <w:jc w:val="left"/>
      </w:pPr>
      <w:r>
        <w:rPr>
          <w:color w:val="000000"/>
          <w:sz w:val="24"/>
          <w:szCs w:val="24"/>
        </w:rPr>
        <w:t xml:space="preserve">Discussion: The NFATC2IP gene may an important have role in the carboplatin resistancein ovarian cancer cells. Further clinical studies are necessary to validate the role of the gene in clinical 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17766">
    <w:multiLevelType w:val="hybridMultilevel"/>
    <w:lvl w:ilvl="0" w:tplc="39261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17766">
    <w:abstractNumId w:val="32017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381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