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ANNA SZEKELY</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BALAZS ACS</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Janina Kulka</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Attila Marcell Szász</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Quantitative evaluation of ETS-related gene expression in prostate adenocarcinomas of different stages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Adenocarcinoma of the prostate is one of the most common malignacies worldwide. Being a heterogenous disease regarding both its prognosis and genetics, the exact mechanism of its development is unknown, yet widely researched. The most common, potentially prognostic genetic aberration is the TMPRSS2-ERG fusion which results in overexpression of the ERG oncogene.</w:t>
      </w:r>
      <w:r>
        <w:rPr>
          <w:color w:val="000000"/>
          <w:sz w:val="24"/>
          <w:szCs w:val="24"/>
        </w:rPr>
        <w:br/>
        <w:t xml:space="preserve">In this study we focus on the immunohistochemically detectable ERG -expression's parameters in prostate adenocarcinomas of different stages. We scrunitize the correlation between the stage and the H-score and percentage of positive nuclei.</w:t>
      </w:r>
      <w:r>
        <w:rPr>
          <w:color w:val="000000"/>
          <w:sz w:val="24"/>
          <w:szCs w:val="24"/>
        </w:rPr>
        <w:br/>
        <w:t xml:space="preserve">Patients and methods: In a retrospective case-control study we sorted the patients (n=82) into three groups: patients with organ-confined (clinical stage≤T2, N0, M0) disease (n=37), patients suffering from advanced (clinical stage≥T3, N≥1, M1, PSA&gt;100 ng/l) disease (n=23) and as a negative control we used specimens of benign prostate hyperplasia (BPH, n=22). After constructing tissue microarrays from representative areas we performed ERG IHC, then we digitalized the slides. The derived image microarrays then were quantitatively analyzed with a validated image-analyzer software.</w:t>
      </w:r>
      <w:r>
        <w:rPr>
          <w:color w:val="000000"/>
          <w:sz w:val="24"/>
          <w:szCs w:val="24"/>
        </w:rPr>
        <w:br/>
        <w:t xml:space="preserve">We found that the ERG-positivity of advanced stage tumors is significantly higher than the staining in localized disease and it is negative in BPH. Regarding the advanced vs. localized tumors' staining intensity we showed that the H-score and the ratio of positively staining nuclei (221,65±54,45 vs. 103,14±58,46 and 82,65±13,99 vs. 55,27±25,44, respectively) differ significantly (p&lt;0,0001) in the two tumor-groups. As mostly biopsies were available in the advanced group and surgical specimens in the localized group, we assumed that this difference in the speciments could potentially be the cause of our results. Since we had biopsies and surgical samples from the same tumor in 10 cases, we examined this hypothesis. Following the above-mentioned methods we found no significant difference between the ERG positivity status of the biopsy and the surgically resected prostate specimens.</w:t>
      </w:r>
      <w:r>
        <w:rPr>
          <w:color w:val="000000"/>
          <w:sz w:val="24"/>
          <w:szCs w:val="24"/>
        </w:rPr>
        <w:br/>
        <w:t xml:space="preserve">Our results show that the intensity of the ERG-staining correlates with the clinical stage of the tumor, and shows indirect connection with the overall survival as the mean 5 year survival rate for localized cancer is almost 100% while it is only 28% in metastatic disease. Our result suggest that ERG can be a potentially useful prognostic biomarker in prostate adenocarcinoma.</w:t>
      </w:r>
      <w:r>
        <w:rPr>
          <w:color w:val="000000"/>
          <w:sz w:val="24"/>
          <w:szCs w:val="24"/>
        </w:rPr>
        <w:br/>
        <w:t xml:space="preserve">Support: TÁMOP 4.2.2/B-10/1-2010-0013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06007">
    <w:multiLevelType w:val="hybridMultilevel"/>
    <w:lvl w:ilvl="0" w:tplc="80716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06007">
    <w:abstractNumId w:val="66106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401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