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BENCE FEJÉR</w:t>
            </w:r>
          </w:p>
          <w:p w:rsidR="00C275A3" w:rsidRDefault="00A96AEC" w:rsidP="00C275A3">
            <w:pPr>
              <w:pStyle w:val="Hallgatokepzes"/>
            </w:pPr>
            <w:r>
              <w:t>doctor of medicine</w:t>
            </w:r>
            <w:r>
              <w:br/>
            </w:r>
            <w:r w:rsidR="00E77B23">
              <w:t>Unified, 11.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Pal Bata MD</w:t>
            </w:r>
          </w:p>
          <w:p w:rsidR="00DB4822" w:rsidRDefault="00DB4822" w:rsidP="00E11062">
            <w:pPr>
              <w:pStyle w:val="Konzulensek"/>
            </w:pPr>
            <w:r w:rsidRPr="00DB4822">
              <w:t>professor’s assistant,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Transitional Cell and Clear Cell Renal Carcinoma: Differentiation of distinct histological types with MDCT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Transitional cell carcinoma (TCC) may mimic renal cell carcinoma (RCC) when developing at the same typical location predominantly. Therefore, diagnostic differentiation with CT imaging techniques might be challenging. Preoperative differentiation has an extraordinary role due to different surgical indications (nephrectomy vs. ureteronephrectomy).</w:t>
      </w:r>
    </w:p>
    <w:p>
      <w:pPr>
        <w:widowControl w:val="on"/>
        <w:pBdr/>
        <w:spacing w:before="240" w:after="240" w:line="240" w:lineRule="auto"/>
        <w:ind w:left="0" w:right="0"/>
        <w:jc w:val="left"/>
      </w:pPr>
      <w:r>
        <w:rPr>
          <w:color w:val="000000"/>
          <w:sz w:val="24"/>
          <w:szCs w:val="24"/>
        </w:rPr>
        <w:t xml:space="preserve">Aim: To retrospectively analyze the contrast enhancement patterns of TCC and RCC.</w:t>
      </w:r>
    </w:p>
    <w:p>
      <w:pPr>
        <w:widowControl w:val="on"/>
        <w:pBdr/>
        <w:spacing w:before="240" w:after="240" w:line="240" w:lineRule="auto"/>
        <w:ind w:left="0" w:right="0"/>
        <w:jc w:val="left"/>
      </w:pPr>
      <w:r>
        <w:rPr>
          <w:color w:val="000000"/>
          <w:sz w:val="24"/>
          <w:szCs w:val="24"/>
        </w:rPr>
        <w:t xml:space="preserve">Methods: Quadriphasic multidetector CT scans were performed with 16 slice CT (Philips Brilliance) scanner following 1.5 ml/kg non-ionic contrast agent administration with 3 ml/sec flow. In all phases 16x1.5 mm collimation was used, and the reconstructed slice thickness was 2 mm. Images of 20 RCC and 10 TCC (mean ages: 62.3±14.1 and 67.4±12.0 years, respectively) were analyzed from thirty patients who underwent multiphase CT examination. Unenhanced, corticomedullary (30-45 s), nephrographic (70-90 s), and excretory (300-480 s) phases were performed. In all lesions we measured the attenuation by using either three 10 mm</w:t>
      </w:r>
      <w:r>
        <w:rPr>
          <w:color w:val="000000"/>
          <w:position w:val="4"/>
          <w:sz w:val="21"/>
          <w:szCs w:val="21"/>
          <w:vertAlign w:val="superscript"/>
        </w:rPr>
        <w:t xml:space="preserve">2</w:t>
      </w:r>
      <w:r>
        <w:rPr>
          <w:color w:val="000000"/>
          <w:sz w:val="24"/>
          <w:szCs w:val="24"/>
        </w:rPr>
        <w:t xml:space="preserve"> regions of interest (ROIs) or whole tumor attenuation. The attenuation characteristics of RCC and TCC were compared to the attenuation of the normal renal cortex.</w:t>
      </w:r>
    </w:p>
    <w:p>
      <w:pPr>
        <w:widowControl w:val="on"/>
        <w:pBdr/>
        <w:spacing w:before="240" w:after="240" w:line="240" w:lineRule="auto"/>
        <w:ind w:left="0" w:right="0"/>
        <w:jc w:val="left"/>
      </w:pPr>
      <w:r>
        <w:rPr>
          <w:color w:val="000000"/>
          <w:sz w:val="24"/>
          <w:szCs w:val="24"/>
        </w:rPr>
        <w:t xml:space="preserve">Results: Significant differences were found in the attenuation ratios between normal renal parenchyma and tumor lesion for either RCC or TCC in the corticomedullary (p=0.044) and nephrographic (p=0.004) phases using three ROIs of 10 mm</w:t>
      </w:r>
      <w:r>
        <w:rPr>
          <w:color w:val="000000"/>
          <w:position w:val="4"/>
          <w:sz w:val="21"/>
          <w:szCs w:val="21"/>
          <w:vertAlign w:val="superscript"/>
        </w:rPr>
        <w:t xml:space="preserve">2</w:t>
      </w:r>
      <w:r>
        <w:rPr>
          <w:color w:val="000000"/>
          <w:sz w:val="24"/>
          <w:szCs w:val="24"/>
        </w:rPr>
        <w:t xml:space="preserve"> size. There were no differences in the attenuation ratios in the unenhanced and excretory phases regarding the two tumor types. By measuring complete tumor lesion attenuation instead of three small ROIs, no significant difference was observed in the attenuation ratios between the two tumors in any phases.</w:t>
      </w:r>
    </w:p>
    <w:p>
      <w:pPr>
        <w:widowControl w:val="on"/>
        <w:pBdr/>
        <w:spacing w:before="240" w:after="240" w:line="240" w:lineRule="auto"/>
        <w:ind w:left="0" w:right="0"/>
        <w:jc w:val="left"/>
      </w:pPr>
      <w:r>
        <w:rPr>
          <w:color w:val="000000"/>
          <w:sz w:val="24"/>
          <w:szCs w:val="24"/>
        </w:rPr>
        <w:t xml:space="preserve">Conclusion: Our study reports a significant difference in the attenuation ratios between normal renal parenchyma and tumor lesions for either RCC or TCC by using multiple (three) small ROIs. The findings underscore the importance of multiphase CT in the preoperative differentation of these two different entities which could help planning the further surgical therapy.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287049">
    <w:multiLevelType w:val="hybridMultilevel"/>
    <w:lvl w:ilvl="0" w:tplc="104631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287049">
    <w:abstractNumId w:val="67287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5537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