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CZIGÁNY</w:t>
            </w:r>
          </w:p>
          <w:p w:rsidR="00C275A3" w:rsidRDefault="00A96AEC" w:rsidP="00C275A3">
            <w:pPr>
              <w:pStyle w:val="Hallgatokepzes"/>
            </w:pPr>
            <w:r>
              <w:t>Medical doctor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TIBOR KOVÁCS</w:t>
            </w:r>
          </w:p>
          <w:p w:rsidR="00DB4822" w:rsidRDefault="00C275A3" w:rsidP="004D7940">
            <w:pPr>
              <w:pStyle w:val="Hallgatokepzes"/>
            </w:pPr>
            <w:r>
              <w:t>Medical doctor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Szijártó MD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Ónody MD</w:t>
            </w:r>
          </w:p>
          <w:p w:rsidR="00DB4822" w:rsidRDefault="00DB4822" w:rsidP="00E11062">
            <w:pPr>
              <w:pStyle w:val="Konzulensek"/>
            </w:pPr>
            <w:r w:rsidRPr="00DB4822">
              <w:t>clinical doctor,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Interaction of postconditioning and toll-like receptors in mesenteric ischemia-reperfusion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Background. The ischemic-reperfusion (I-R) injury of the small intestine occurs most frequently due to superior mesenteric artery (SMA) occlusion. Applied at the very onset of reperfusion, postconditioning - brief, repetitive, alternating cycles of reperfusion- and reocclusion, performed prior to the vessel's free reperfusion -, seems to be a suitable method for attenuating tissue damage. As part of the innate immune system, toll-like receptors (TLRs) play an important role in the pathogenesis of I-R injury. The aim of the present study was to examine the effects of postconditioning on local TLR expression-, as well as on local redox- and systemic inflammatory states.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Methods. Male Wistar rats underwent 60 minutes of SMA clamping, and 360 minutes of reperfusion. The animals were randomized into 3 groups, as follows: SHAM-operated (SHAM), I-R control (IR), and Postconditioned (PC). At the onset of reperfusion, postconditioning was performed in 6 alternating cycles, each consisting of 10-10 seconds of reperfusion and reocclusion. Following the end of reperfusion, blood and tissue samples were taken for further histological analysis, and measurement of local TLR mRNA expression. Furthermore, a section of the intestinal mucosa was homogenized for the assessment of local redox state. Additionally, serum levels of TNF-α and IL-6 were also measured.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Results. In comparison with the I-R control group, the postconditioned group presented milder tissue injury, increased TLR mRNA expression (p&lt;0,05), as well as significantly lower TNF-α (p=0,002)- and IL-6 (p=0,004) serum concentrations. Paralelly, postconditioning also amended the mucosal redox state by increasing the number of free –SH agents (I-R</w:t>
      </w:r>
      <w:r>
        <w:rPr>
          <w:color w:val="000000"/>
          <w:position w:val="-4"/>
          <w:sz w:val="21"/>
          <w:szCs w:val="21"/>
          <w:vertAlign w:val="subscript"/>
        </w:rPr>
        <w:t xml:space="preserve">Duodenum</w:t>
      </w:r>
      <w:r>
        <w:rPr>
          <w:color w:val="000000"/>
          <w:sz w:val="24"/>
          <w:szCs w:val="24"/>
        </w:rPr>
        <w:t xml:space="preserve">: 1,41±0,24 mmol/l; I-R</w:t>
      </w:r>
      <w:r>
        <w:rPr>
          <w:color w:val="000000"/>
          <w:position w:val="-4"/>
          <w:sz w:val="21"/>
          <w:szCs w:val="21"/>
          <w:vertAlign w:val="subscript"/>
        </w:rPr>
        <w:t xml:space="preserve">Jejunum</w:t>
      </w:r>
      <w:r>
        <w:rPr>
          <w:color w:val="000000"/>
          <w:sz w:val="24"/>
          <w:szCs w:val="24"/>
        </w:rPr>
        <w:t xml:space="preserve">: 1,44±0,2 mmol/l; I-R</w:t>
      </w:r>
      <w:r>
        <w:rPr>
          <w:color w:val="000000"/>
          <w:position w:val="-4"/>
          <w:sz w:val="21"/>
          <w:szCs w:val="21"/>
          <w:vertAlign w:val="subscript"/>
        </w:rPr>
        <w:t xml:space="preserve">Ileum</w:t>
      </w:r>
      <w:r>
        <w:rPr>
          <w:color w:val="000000"/>
          <w:sz w:val="24"/>
          <w:szCs w:val="24"/>
        </w:rPr>
        <w:t xml:space="preserve">: 1,31±0,31 mmol/l; PC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1,88±0,13 mmol/l; PC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2,04±0,47 mmol/l; PC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1,65±0,18 mmol/l), and the activity of 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-donation (I-R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76±13%; I-R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71±9%; I-R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56±22%; PC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93±6%; PC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83±15%; PC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69±10%). The total mucosal reducing power was also enhanced (I-R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256±52 AS/g; I-R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233±33 AS/g; I-R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231±46 AS/g; PC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304±66 AS/g; PC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324±65 AS/g; PC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294±41 AS/g).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Conclusions. Postconditioning proved to be capable of modulating intestinal mucosal TLR mRNA expression, whereas it was also effective in attenuating intestinal I-R injury upon the occlusion of the SMA.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02162">
    <w:multiLevelType w:val="hybridMultilevel"/>
    <w:lvl w:ilvl="0" w:tplc="15082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02162">
    <w:abstractNumId w:val="18902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314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