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MERKELY GERGŐ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NÉMETH BALÁZS TAMÁS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Radovits Tamás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Teljes aortaív pótlás decellularizált allograftokkal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aortaív sérülései, betegségei gyakran annak érprotézissel történő cseréjét teszik szükségessé. A jelenleg alkalmazott szintetikus érprotézisek beültetése több okból is kedvezőtlen (szuboptimális biomechanika, trombogenitás, toxicitás). Munkánkban a hagyományos protézisek és az általunk létrehozott decellularizált aortaív-allograftok tulajdonságait vizsgáltuk in vitro és in vivo.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Kutya aortaívekből decellularizált allograftokat készítettünk, majd in vitro tulajdonságaikat szövettani, biokémiai és mechanikai módszerekkel vizsgáltuk.A teljes aortaívcsere kutyamodelljében hagyományos protézisek és decellularizált allograftok (n=5-5) implantációját végeztük. Regisztráltuk az aorta véráramlását, nyomását és nyomás-konduktancia katéterrel balkamrai nyomás-térfogat analízist végeztünk. Hemodinamikai adatainkból kiszámoltuk a balkamrai kontraktilitás (végszisztolés elasztancia, Ees) és az utóterhelés paramétereit (artériás elasztancia, Ea), valamint a ventrikulo-arteriális kapcsolást (VAC). Fourier-analízissel meghatároztuk a vaszkuláris impedancia spektrumot és a karakterisztikus impedanciát (Z).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Natív aortaívvel összevetve decellularizát allograftokban a sejtes elemek és DNS-tartalom hiánya mellett intakt extracelluláris mátrix, megtartott kollagén- és elasztintartalom igazolódott. Mechanikai tulajdonságaik megegyeztek a natív aortaívéivel és kedvezőbbek voltak a szintetikus protéziseknél.Az aortaív cseréjét követően az Ees egyik csoportban sem változott jelentősen (4,10±1,19 vs. 4,58±1,39 protézis, 3,21±0,97 vs 3,96±1,16Hgmm/ml allograft), az Ea a protézis csoportban szignifikánsan megemelkedett (4,01±0,67 vs 6,18±0,20 protézis, 5,03±0,35 vs 5,99±1,09 Hgmm/ml allograft). Következésképpen a VAC romlása volt észlelhető a protézisek esetén (+62,5%), decellularizált allograftoknál viszont nem volt változás (+3,9%). A Z jelentősen növekedett a protézis beültetése után (29,5±7,0 vs. 44,6±11,3dyn·s·cm</w:t>
      </w:r>
      <w:r>
        <w:rPr>
          <w:color w:val="000000"/>
          <w:position w:val="4"/>
          <w:sz w:val="21"/>
          <w:szCs w:val="21"/>
          <w:vertAlign w:val="superscript"/>
        </w:rPr>
        <w:t xml:space="preserve">-5</w:t>
      </w:r>
      <w:r>
        <w:rPr>
          <w:color w:val="000000"/>
          <w:sz w:val="24"/>
          <w:szCs w:val="24"/>
        </w:rPr>
        <w:t xml:space="preserve">) míg az allograftok esetén változatlan maradt (34,2±8,4 vs. 32,4±2,0dyn·s·cm</w:t>
      </w:r>
      <w:r>
        <w:rPr>
          <w:color w:val="000000"/>
          <w:position w:val="4"/>
          <w:sz w:val="21"/>
          <w:szCs w:val="21"/>
          <w:vertAlign w:val="superscript"/>
        </w:rPr>
        <w:t xml:space="preserve">-5</w:t>
      </w:r>
      <w:r>
        <w:rPr>
          <w:color w:val="000000"/>
          <w:sz w:val="24"/>
          <w:szCs w:val="24"/>
        </w:rPr>
        <w:t xml:space="preserve">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A hagyományos érprotézis beültetése kontraktilitás-utóterhelés aránytalansághoz vezet. Decellularizált allograftjainkat implantálva a vaszkuláris impedancia spektrum és a mechanoenergetikai viszonyok változatlanok maradnak. Eredményeink szerint a szövetépítési eljárásokkal létrehozott nagyér-allograftok a jelenlegi protézisek alternatívái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81118">
    <w:multiLevelType w:val="hybridMultilevel"/>
    <w:lvl w:ilvl="0" w:tplc="416697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81118">
    <w:abstractNumId w:val="573811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374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