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MERKELY</w:t>
            </w:r>
          </w:p>
          <w:p w:rsidR="00C275A3" w:rsidRDefault="00A96AEC" w:rsidP="00C275A3">
            <w:pPr>
              <w:pStyle w:val="Hallgatokepzes"/>
            </w:pPr>
            <w:r>
              <w:t>Medical student</w:t>
            </w:r>
            <w:r>
              <w:br/>
            </w:r>
            <w:r w:rsidR="00E77B23">
              <w:t>Unified, 7.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BALÁZS TAMÁS NÉMETH</w:t>
            </w:r>
          </w:p>
          <w:p w:rsidR="00DB4822" w:rsidRDefault="00C275A3" w:rsidP="004D7940">
            <w:pPr>
              <w:pStyle w:val="Hallgatokepzes"/>
            </w:pPr>
            <w:r>
              <w:t>Medical student</w:t>
            </w:r>
            <w:r w:rsidR="00A96AEC">
              <w:br/>
              <w:t>Unified, 11.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Radovits PhD</w:t>
            </w:r>
          </w:p>
          <w:p w:rsidR="00DB4822" w:rsidRDefault="00DB4822" w:rsidP="00E11062">
            <w:pPr>
              <w:pStyle w:val="Konzulensek"/>
            </w:pPr>
            <w:r w:rsidRPr="00DB4822">
              <w:t>clinical physician,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Total aortic arch replacement to a decellularized allograft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Diseases of the aortic arch often require its replacement by synthetic prostheses, however, their implantation may be unfavourable for several reasons (suboptimal biomechanics, thrombogenicity, toxicity). In this study we investigated in vitro and in vivo properties of conventional protheses and decellularized aortic arch allografts.</w:t>
      </w:r>
    </w:p>
    <w:p>
      <w:pPr>
        <w:widowControl w:val="on"/>
        <w:pBdr/>
        <w:spacing w:before="240" w:after="240" w:line="240" w:lineRule="auto"/>
        <w:ind w:left="0" w:right="0"/>
        <w:jc w:val="left"/>
      </w:pPr>
      <w:r>
        <w:rPr>
          <w:color w:val="000000"/>
          <w:sz w:val="24"/>
          <w:szCs w:val="24"/>
        </w:rPr>
        <w:t xml:space="preserve">Methods: After preparing decellularized aortic arch allografts, their mechanical, histological and biochemical properties were evaluated and compared to native aortic arches and conventional prostheses in vitro. Total aortic arch replacement was performed with conventional prostheses and compared to decellularized allografts (n=5/group). Aortic blood flow and pressure were recorded continuously, left ventricular pressure-volume relations were measured by using a pressure-conductance catheter. From the hemodynamic variables end-systolic elastance (Ees), arterial elastance (Ea) and VAC were calculated. Vascular impedance spectrum and characteristic impedance (Z) were assessed by Fourier analysis.</w:t>
      </w:r>
    </w:p>
    <w:p>
      <w:pPr>
        <w:widowControl w:val="on"/>
        <w:pBdr/>
        <w:spacing w:before="240" w:after="240" w:line="240" w:lineRule="auto"/>
        <w:ind w:left="0" w:right="0"/>
        <w:jc w:val="left"/>
      </w:pPr>
      <w:r>
        <w:rPr>
          <w:color w:val="000000"/>
          <w:sz w:val="24"/>
          <w:szCs w:val="24"/>
        </w:rPr>
        <w:t xml:space="preserve">Results: Decellularized allografts showed lack of cells and DNA, intact extracellular matrix and normal collagen/elastin content.Their mechanical properties did not differ from native aortic arches and were superior to protheses.While Ees did not differ between the groups and over time (4.10±1.19 vs. 4.58±1.39mmHg/mL and 3.21±0.97 vs. 3.96±1.16mmHg/mL), Ea showed a higher increase in the prosthesis group (4.01±0.67 vs. 6.18±0.20mmHg/mL, P&lt;0.05) in comparison to decellularized allografts (5.03±0.35 vs. 5.99±1.09mmHg/mL). This led to impaired VAC in the prosthesis group (+62.5%), while it remained unchanged in the allograft group (+3.9%). Z showed a strong increasing tendency in the prosthesis group and it was markedly higher after replacement when compared to decellularized allografts (44.6±8.3dyn·sec·cm</w:t>
      </w:r>
      <w:r>
        <w:rPr>
          <w:color w:val="000000"/>
          <w:position w:val="4"/>
          <w:sz w:val="21"/>
          <w:szCs w:val="21"/>
          <w:vertAlign w:val="superscript"/>
        </w:rPr>
        <w:t xml:space="preserve">-5</w:t>
      </w:r>
      <w:r>
        <w:rPr>
          <w:color w:val="000000"/>
          <w:sz w:val="24"/>
          <w:szCs w:val="24"/>
        </w:rPr>
        <w:t xml:space="preserve"> vs. 32.4±2.0dyn·sec·cm</w:t>
      </w:r>
      <w:r>
        <w:rPr>
          <w:color w:val="000000"/>
          <w:position w:val="4"/>
          <w:sz w:val="21"/>
          <w:szCs w:val="21"/>
          <w:vertAlign w:val="superscript"/>
        </w:rPr>
        <w:t xml:space="preserve">-5</w:t>
      </w:r>
      <w:r>
        <w:rPr>
          <w:color w:val="000000"/>
          <w:sz w:val="24"/>
          <w:szCs w:val="24"/>
        </w:rPr>
        <w:t xml:space="preserve">, P&lt;0.05).</w:t>
      </w:r>
    </w:p>
    <w:p>
      <w:pPr>
        <w:widowControl w:val="on"/>
        <w:pBdr/>
        <w:spacing w:before="240" w:after="240" w:line="240" w:lineRule="auto"/>
        <w:ind w:left="0" w:right="0"/>
        <w:jc w:val="left"/>
      </w:pPr>
      <w:r>
        <w:rPr>
          <w:color w:val="000000"/>
          <w:sz w:val="24"/>
          <w:szCs w:val="24"/>
        </w:rPr>
        <w:t xml:space="preserve">Conclusion: Total aortic arch replacement leads to contractility-afterload mismatch by means of increased impedance and invert VAC ratio after implantation of conventional prostheses. Implantation of decellularized allografts preserves vascular impedance thereby improving ventriculoarterial mechanoenergetics after aortic arch replacement. Tissue-engineered aortic arch allografts might serve as an alternative for protheses.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58866">
    <w:multiLevelType w:val="hybridMultilevel"/>
    <w:lvl w:ilvl="0" w:tplc="29751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58866">
    <w:abstractNumId w:val="45758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751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