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HUNOR NOVÁK</w:t>
            </w:r>
          </w:p>
          <w:p w:rsidR="00C275A3" w:rsidRDefault="00A96AEC" w:rsidP="00C275A3">
            <w:pPr>
              <w:pStyle w:val="Hallgatokepzes"/>
            </w:pPr>
            <w:r>
              <w:t>physician</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SZABOLCS TALPAI</w:t>
            </w:r>
          </w:p>
          <w:p w:rsidR="00DB4822" w:rsidRDefault="00C275A3" w:rsidP="004D7940">
            <w:pPr>
              <w:pStyle w:val="Hallgatokepzes"/>
            </w:pPr>
            <w:r>
              <w:t>physician</w:t>
            </w:r>
            <w:r w:rsidR="00A96AEC">
              <w:br/>
              <w:t>Unified, 8.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Laszlo Noszek</w:t>
            </w:r>
          </w:p>
          <w:p w:rsidR="00DB4822" w:rsidRDefault="00DB4822" w:rsidP="00E11062">
            <w:pPr>
              <w:pStyle w:val="Konzulensek"/>
            </w:pPr>
            <w:r w:rsidRPr="00DB4822">
              <w:t>assistant professor, SE ÁOK</w:t>
            </w:r>
          </w:p>
        </w:tc>
      </w:tr>
      <w:tr w:rsidR="00DB4822" w:rsidTr="00DB4822">
        <w:tc>
          <w:tcPr>
            <w:tcW w:w="9854" w:type="dxa"/>
          </w:tcPr>
          <w:p w:rsidR="00DB4822" w:rsidRPr="00DB4822" w:rsidRDefault="00DB4822" w:rsidP="004D7940">
            <w:pPr>
              <w:pStyle w:val="Konzulensek"/>
            </w:pPr>
            <w:r w:rsidRPr="00DB4822">
              <w:t>Dr. Elek Dinya</w:t>
            </w:r>
          </w:p>
          <w:p w:rsidR="00DB4822" w:rsidRDefault="00DB4822" w:rsidP="00E11062">
            <w:pPr>
              <w:pStyle w:val="Konzulensek"/>
            </w:pPr>
            <w:r w:rsidRPr="00DB4822">
              <w:t>associate professor, SE EKK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correlation between hearing problems and the distribution of glutathione-S-transferase genotype in the prospective examination of patients subjected to cisplatin treatment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Introduction: Our working group has been involved in the research of the ototoxic side effects of cisplatin. In terms of the extent of acute hearing impairment, significantly varying individual differences were. In case of the patients with testicular cancer examined by us, cisplatin continues to be the basis of the therapy; as a side effect of the medication, symptoms of tinnitus or permanent/transient hearing loss often occur. The side effects are attributed to the damage caused by the cisplatin in the outer hair cells located in the inner ear: according to research data the accumulating oxidative agents play a major role in ototoxicity. The T1, M1 and P1 isoenzymes of the glutathione-S-transferase are also expressed in cochlea, where they provide protection against oxidative stress and also have a role in the metabolism of cisplatin.</w:t>
      </w:r>
      <w:r>
        <w:rPr>
          <w:color w:val="000000"/>
          <w:sz w:val="24"/>
          <w:szCs w:val="24"/>
        </w:rPr>
        <w:br/>
        <w:t xml:space="preserve">     Methods: During the course of our examination we have conducted measurements on multiple occasions for 175 patients who underwent 5-day chemotherapy cycles (20mg/m²/daycisplatin), of whom we tracked the subjective complaints also for a total of 70 persons. After a careful recording of as well as otoscope and tympanometric examinations, we conducted distortion (DPOAE) and spontaneous otoacoustic emission (SPOAE) and audiometric measurements prior to and after the chemotherapy cycles. From the blood samples taken we determined the gene polymorphisms of the isoenzymes.</w:t>
      </w:r>
      <w:r>
        <w:rPr>
          <w:color w:val="000000"/>
          <w:sz w:val="24"/>
          <w:szCs w:val="24"/>
        </w:rPr>
        <w:br/>
        <w:t xml:space="preserve">     Results: We established groups with complaints (N=30) and groups without complaints (N=40) based on the clinical complaints. The DPOAE results prior to treatment of the two groups did not deteriorate significantly even after the first, second and third chemotherapy cycle (ANOVA, Scheffe post hoc test). Upon examining the gene polymorphism we found that complaints occurred at a significantly lower rate in case of mutant GSTT1 (P:0.0143); mutant GSTM1 (P:&lt;0.0001); as well as for heterozygotes (P:0.0455) and mutant (P:0.0071) GSTP1. The wild GSTT1, wild GSTM1 and wild GSTP1 genetic sample poses an increased risk in terms of the appearance of hearing complaints (P:0.007).</w:t>
      </w:r>
      <w:r>
        <w:rPr>
          <w:color w:val="000000"/>
          <w:sz w:val="24"/>
          <w:szCs w:val="24"/>
        </w:rPr>
        <w:br/>
        <w:t xml:space="preserve">     Conclusion: The frequency of occurrence of ototoxic complaints increases for wild variations and decreases for mutant types. Our unique prospective research may be useful in providing a deeper insight into acute and chronic ototoxic effects and in assessing the genetic risks and may thus enable a personalized oncotherapy focusing not only on survival but quality of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861210">
    <w:multiLevelType w:val="hybridMultilevel"/>
    <w:lvl w:ilvl="0" w:tplc="47649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861210">
    <w:abstractNumId w:val="628612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99608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