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SZAKÁL ENIKŐ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VADÓCZ REBEKA</w:t>
            </w:r>
          </w:p>
          <w:p w:rsidR="00DB4822" w:rsidRDefault="00C275A3" w:rsidP="004D7940">
            <w:pPr>
              <w:pStyle w:val="Hallgatokepzes"/>
            </w:pPr>
            <w:r>
              <w:t>Fogorvos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Fogorvostudományi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Huszár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Implantátum körüli csontnívó változás vizsgálata xenogén és szintetikus csontpótlók implantációval egybekötött alkalmazása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klinikai gyakorlatban ellentmondásos az implantációval egy időben végzett az implantátum nyaki része körüli csontpótlás. Az együléses műtét sikerét befolyásolhatja az alkalmazott csontpótló típusa is.</w:t>
      </w:r>
      <w:r>
        <w:rPr>
          <w:color w:val="000000"/>
          <w:sz w:val="24"/>
          <w:szCs w:val="24"/>
        </w:rPr>
        <w:br/>
        <w:t xml:space="preserve">Célkitűzés. Retrospektív tanulmányban vizsgáltuk különböző csontpótlók (BioOss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, BondBone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) alkalmazása esetén a periimplantális csontveszteség mértékét és a dohányzás erre kifejtett hatását.</w:t>
      </w:r>
      <w:r>
        <w:rPr>
          <w:color w:val="000000"/>
          <w:sz w:val="24"/>
          <w:szCs w:val="24"/>
        </w:rPr>
        <w:br/>
        <w:t xml:space="preserve">Anyag és módszer. 80 páciensen (46 nő, 34 férfi; 37 dohányos, 43 nemdohányzó, 32-71 éves korig) 358 implantációt követően mértük az implantátum nyak körül mesialisan és distalisan kialakult csontmagasság változást közvetlenül a műtét után és 5 hónappal később készített panoráma felvételeken. A méréseket SIDEXIS neXt Generation hosszúságmérő programjával végeztük Sirona Orthophos XG5 készülékkel készített röntgeneken. A felvételek nem standardizált körülmények között készültek. Csoportok: Implantáció 1) csontpótlás nélkül; 2) BondBone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 használatával; 3) BondBone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 és BioOss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 együttes alkalmazásával. Összehasonlítottuk a dohányzó és nemdohányzó páciensek csontveszteségét is.</w:t>
      </w:r>
      <w:r>
        <w:rPr>
          <w:color w:val="000000"/>
          <w:sz w:val="24"/>
          <w:szCs w:val="24"/>
        </w:rPr>
        <w:br/>
        <w:t xml:space="preserve">Statisztika. Az eredményeket átlag±szórás formában jelöltük. Az értékelés Kruskal-Wallis teszttel illetve 1 utas ANOVA próbával történt (p≤0,05).</w:t>
      </w:r>
      <w:r>
        <w:rPr>
          <w:color w:val="000000"/>
          <w:sz w:val="24"/>
          <w:szCs w:val="24"/>
        </w:rPr>
        <w:br/>
        <w:t xml:space="preserve">Eredmények. A legnagyobb csontveszteséget a csontpótló nélküli csoportban mértük (-1,07 mm) a legkisebbet BondBone</w:t>
      </w:r>
      <w:r>
        <w:rPr>
          <w:color w:val="000000"/>
          <w:position w:val="4"/>
          <w:sz w:val="21"/>
          <w:szCs w:val="21"/>
          <w:vertAlign w:val="superscript"/>
        </w:rPr>
        <w:t xml:space="preserve">® </w:t>
      </w:r>
      <w:r>
        <w:rPr>
          <w:color w:val="000000"/>
          <w:sz w:val="24"/>
          <w:szCs w:val="24"/>
        </w:rPr>
        <w:t xml:space="preserve">és BioOss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 együttes alkalmazásakor (-0,47; BondBone önmagában: -0,57). A csontpótlás nélküli csoportban szignifikánsan nagyobb volt a csontveszteség (p&lt;0,05).A dohányzó csoportokban nagyobb volt a csontveszteség mértéke, mint a nemdohányzóban és a különbség szignifikánsnak bizonyult (-0,67 vs. -0,81; p&lt;0,05).</w:t>
      </w:r>
      <w:r>
        <w:rPr>
          <w:color w:val="000000"/>
          <w:sz w:val="24"/>
          <w:szCs w:val="24"/>
        </w:rPr>
        <w:br/>
        <w:t xml:space="preserve">Következtetés. A csontpótlással együlésben végzett implantáció javíthatja a kezelés sikerességét és lehetővé teszi az implantációt megelőző csontpótló műtét elkerülését. A legkisebb csontveszteség a BondBone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 és BioOss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 együttes használatakor mérhető. A dohányzás befolyásolja az implantációval egybekötött csontpótlás sikerességét. Az implantációval egybekötött csontpótlás segíti az implantáció sikerét, megfelelő műtéti technikával történt beavatkozás esetén.</w:t>
      </w:r>
      <w:r>
        <w:rPr>
          <w:color w:val="000000"/>
          <w:sz w:val="24"/>
          <w:szCs w:val="24"/>
        </w:rPr>
        <w:br/>
        <w:t xml:space="preserve">A fenti eredmények tájékoztatóak, további objektív módszerrel történő vizsgálatokkal lehet pontos következtetéseket</w:t>
      </w:r>
      <w:r>
        <w:rPr>
          <w:color w:val="000000"/>
          <w:sz w:val="24"/>
          <w:szCs w:val="24"/>
        </w:rPr>
        <w:br/>
        <w:t xml:space="preserve">levonni.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77895">
    <w:multiLevelType w:val="hybridMultilevel"/>
    <w:lvl w:ilvl="0" w:tplc="36087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77895">
    <w:abstractNumId w:val="167778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620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