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SZILVIA CSEKE</w:t>
            </w:r>
          </w:p>
          <w:p w:rsidR="00C275A3" w:rsidRDefault="00A96AEC" w:rsidP="00C275A3">
            <w:pPr>
              <w:pStyle w:val="Hallgatokepzes"/>
            </w:pPr>
            <w:r>
              <w:t>Medicine</w:t>
            </w:r>
            <w:r>
              <w:br/>
            </w:r>
            <w:r w:rsidR="00E77B23">
              <w:t>BSc, 11. semester</w:t>
            </w:r>
          </w:p>
          <w:p w:rsidR="00C265CE" w:rsidRPr="009E5FF1" w:rsidRDefault="00E77B23" w:rsidP="009763E0">
            <w:pPr>
              <w:pStyle w:val="Hallgatointezmeny-kar"/>
              <w:rPr>
                <w:b/>
                <w:caps/>
              </w:rPr>
            </w:pPr>
            <w:r>
              <w:t>University of Medicine and Pharmacy Targu Mures</w:t>
            </w:r>
            <w:r w:rsidR="00C275A3">
              <w:br/>
            </w:r>
            <w:r w:rsidR="00DB4822">
              <w:t>General Medicine</w:t>
            </w:r>
          </w:p>
        </w:tc>
        <w:tc>
          <w:tcPr>
            <w:tcW w:w="4914" w:type="dxa"/>
          </w:tcPr>
          <w:p w:rsidR="00DB4822" w:rsidRPr="00DB4822" w:rsidRDefault="00DB4822" w:rsidP="004D7940">
            <w:pPr>
              <w:pStyle w:val="Hallgatonev"/>
              <w:rPr>
                <w:caps/>
              </w:rPr>
            </w:pPr>
            <w:r w:rsidRPr="00DB4822">
              <w:rPr>
                <w:caps/>
              </w:rPr>
              <w:t>NOEMI AGNES VARGA</w:t>
            </w:r>
          </w:p>
          <w:p w:rsidR="00DB4822" w:rsidRDefault="00C275A3" w:rsidP="004D7940">
            <w:pPr>
              <w:pStyle w:val="Hallgatokepzes"/>
            </w:pPr>
            <w:r>
              <w:t>Medicine</w:t>
            </w:r>
            <w:r w:rsidR="00A96AEC">
              <w:br/>
              <w:t>BSc, 11. semester</w:t>
            </w:r>
          </w:p>
          <w:p w:rsidR="00DB4822" w:rsidRDefault="00DB4822" w:rsidP="004D7940">
            <w:pPr>
              <w:pStyle w:val="Hallgatointezmeny-kar"/>
            </w:pPr>
            <w:r>
              <w:t>University of Medicine and Pharmacy Targu Mures</w:t>
            </w:r>
          </w:p>
          <w:p w:rsidR="00C265CE" w:rsidRPr="009E5FF1" w:rsidRDefault="00DB4822" w:rsidP="004D7940">
            <w:pPr>
              <w:pStyle w:val="Hallgatointezmeny-kar"/>
              <w:rPr>
                <w:b/>
                <w:caps/>
              </w:rPr>
            </w:pPr>
            <w:r>
              <w:t>General Medicine</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Josef Böhm</w:t>
            </w:r>
          </w:p>
          <w:p w:rsidR="00DB4822" w:rsidRDefault="00DB4822" w:rsidP="009763E0">
            <w:pPr>
              <w:pStyle w:val="Konzulensektitulus"/>
            </w:pPr>
            <w:r w:rsidRPr="00DB4822">
              <w:t>head of neurological department,  KKH Freiberg</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POSSIBILITIES OF NEUROMUSCULAR ULTRASOUND IN THE DIAGNOSIS OF IDIOPATHIC CTS – HOW TO MEASURE THE THICKNESS OF RETINACULUM FLEXORUM MUSCULORUM MANUS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The Carpal tunnel syndrome (CTS) is one of the most frequent nerve entrapment, in its diagnosis the neuromuscular ultrasound assessment is frequently used.</w:t>
      </w:r>
      <w:r>
        <w:rPr>
          <w:color w:val="000000"/>
          <w:sz w:val="24"/>
          <w:szCs w:val="24"/>
        </w:rPr>
        <w:br/>
        <w:t xml:space="preserve">The retinaculum flexorum musculorum manus plays an important role in the compression of median nerve in the carpal tunnel syndrome. This is the upper border of the carpal tunnel and it’s visible through nervultrasound assessment.</w:t>
      </w:r>
      <w:r>
        <w:rPr>
          <w:color w:val="000000"/>
          <w:sz w:val="24"/>
          <w:szCs w:val="24"/>
        </w:rPr>
        <w:br/>
        <w:t xml:space="preserve">Our aim was to measure the thickness of the flexor retinaculum in case of idiopathic CTS patients and healthy controls.</w:t>
      </w:r>
    </w:p>
    <w:p>
      <w:pPr>
        <w:widowControl w:val="on"/>
        <w:pBdr/>
        <w:spacing w:before="240" w:after="240" w:line="240" w:lineRule="auto"/>
        <w:ind w:left="0" w:right="0"/>
        <w:jc w:val="left"/>
      </w:pPr>
      <w:r>
        <w:rPr>
          <w:color w:val="000000"/>
          <w:sz w:val="24"/>
          <w:szCs w:val="24"/>
        </w:rPr>
        <w:t xml:space="preserve">Patients and methods: Between 2012.june.23.- September.30. we selected 30 patients presenting CTS . We excluded patients with diabetes, polineuropathy and who related in history conservative or surgical treatment. Beside the routine diagnostic guideline ( electrodiagnosis, CSA, WFR) we measured the thickness of flexor retinaculum at the level of os capitatum on cross sectional imaging and longitudinal imaging. These were performed also in the case of 19 healthy controls. For statistical analysis we used Pearson’s correlation coefficient and linear regression.</w:t>
      </w:r>
    </w:p>
    <w:p>
      <w:pPr>
        <w:widowControl w:val="on"/>
        <w:pBdr/>
        <w:spacing w:before="240" w:after="240" w:line="240" w:lineRule="auto"/>
        <w:ind w:left="0" w:right="0"/>
        <w:jc w:val="left"/>
      </w:pPr>
      <w:r>
        <w:rPr>
          <w:color w:val="000000"/>
          <w:sz w:val="24"/>
          <w:szCs w:val="24"/>
        </w:rPr>
        <w:t xml:space="preserve">Results: The average thickness measured on cross sectional image was 1,023mm in patients with CTS, and 0,7mm in healthy volunteers.</w:t>
      </w:r>
      <w:r>
        <w:rPr>
          <w:color w:val="000000"/>
          <w:sz w:val="24"/>
          <w:szCs w:val="24"/>
        </w:rPr>
        <w:br/>
        <w:t xml:space="preserve">We have found a negative correlation between the sensory nerve conduction velocity and the value of the flexor retinaculum at both, the control and the patient lot. We found a positive correlation between the nerve cross sectional area and the value of the flexor retinaculum.</w:t>
      </w:r>
      <w:r>
        <w:rPr>
          <w:color w:val="000000"/>
          <w:sz w:val="24"/>
          <w:szCs w:val="24"/>
        </w:rPr>
        <w:br/>
        <w:t xml:space="preserve">The difference is significant (p=0,001) in the control and the patient group, if the wall thickness of the flexor retinaculum is bigger than 0.9 mm.</w:t>
      </w:r>
    </w:p>
    <w:p>
      <w:pPr>
        <w:widowControl w:val="on"/>
        <w:pBdr/>
        <w:spacing w:before="240" w:after="240" w:line="240" w:lineRule="auto"/>
        <w:ind w:left="0" w:right="0"/>
        <w:jc w:val="left"/>
      </w:pPr>
      <w:r>
        <w:rPr>
          <w:color w:val="000000"/>
          <w:sz w:val="24"/>
          <w:szCs w:val="24"/>
        </w:rPr>
        <w:t xml:space="preserve">Conclusion: The measurement of retinaculum flexorum thickness is possible by high resolution ultrasound and it’s a useful parameter in the diagnosis of 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306364">
    <w:multiLevelType w:val="hybridMultilevel"/>
    <w:lvl w:ilvl="0" w:tplc="979522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306364">
    <w:abstractNumId w:val="903063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76739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