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CSATÓ</w:t>
            </w:r>
          </w:p>
          <w:p w:rsidR="00C275A3" w:rsidRDefault="00A96AEC" w:rsidP="00C275A3">
            <w:pPr>
              <w:pStyle w:val="Hallgatokepzes"/>
            </w:pPr>
            <w:r>
              <w:t>Liberal Arts</w:t>
            </w:r>
            <w:r>
              <w:br/>
            </w:r>
            <w:r w:rsidR="00E77B23">
              <w:t>BA, 6. semester</w:t>
            </w:r>
          </w:p>
          <w:p w:rsidR="00C265CE" w:rsidRPr="009E5FF1" w:rsidRDefault="00E77B23" w:rsidP="009763E0">
            <w:pPr>
              <w:pStyle w:val="Hallgatointezmeny-kar"/>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János Loboczky PhD</w:t>
            </w:r>
          </w:p>
          <w:p w:rsidR="00DB4822" w:rsidRDefault="00DB4822" w:rsidP="009763E0">
            <w:pPr>
              <w:pStyle w:val="Konzulensektitulus"/>
            </w:pPr>
            <w:r w:rsidRPr="00DB4822">
              <w:t>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changing of the taste by Gadamer’s hermeneutics horizon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theme of my work is the taste philosophy, the questions about the taste. I used Gadamer’s Truth and Method work to research the answers. My main goal is to give a complex picture about the historical changing of the taste and about the main theme of the taste, meanwhile I try to point out to Gadamer’s new views - I think it’s especially important to speak about fashion – as the history of taste philosophy.</w:t>
      </w:r>
      <w:r>
        <w:rPr>
          <w:color w:val="000000"/>
          <w:sz w:val="24"/>
          <w:szCs w:val="24"/>
        </w:rPr>
        <w:br/>
        <w:t xml:space="preserve">My essay’s concept was raised about the next questions: what we mean about good taste. What is the good taste? What is anything special, individual thing that we carry since our birth? Do we just carry? Is it indeed everything? Or do we keep figuring, improving it? Is there out any kind of “norm” which can define what the “good taste”?</w:t>
      </w:r>
      <w:r>
        <w:rPr>
          <w:color w:val="000000"/>
          <w:sz w:val="24"/>
          <w:szCs w:val="24"/>
        </w:rPr>
        <w:br/>
        <w:t xml:space="preserve">In my opinion, the best way to answer these questions (with quality result) is to use Gadamer’s method, the hermeneutics. This is why I thought that it is important to circle about the main stations of the historical changing of the taste in the name of the hermeneutics tradition.</w:t>
      </w:r>
      <w:r>
        <w:rPr>
          <w:color w:val="000000"/>
          <w:sz w:val="24"/>
          <w:szCs w:val="24"/>
        </w:rPr>
        <w:br/>
        <w:t xml:space="preserve">At the second part of my essay I tried to step over the scientific empiric forms. This is how I get to the experience of art (theatre, in my case). I evoked and compared the taste of two ages at art with Kirkegaard’s work (Either/Or) meanwhile I used Gadamer’s method. This is one of the most important part of my work in so many ways. First of all, I think Kierkegaard’s essay is really actual now days. Secondly, this part can light up the force of the art. As Gadamer says: art is like a “wonder” what can reveal a kind of justice. Finally, our hermeneutics universe became complex and full with the experience of art. In my work I tried to explore the main stations of the historical changing of the taste in our keep growing hermeneutics universe.</w:t>
      </w:r>
    </w:p>
    <w:p>
      <w:pPr>
        <w:widowControl w:val="on"/>
        <w:pBdr/>
        <w:spacing w:before="240" w:after="240" w:line="240" w:lineRule="auto"/>
        <w:ind w:left="0" w:right="0"/>
        <w:jc w:val="left"/>
      </w:pPr>
      <w:r>
        <w:rPr>
          <w:color w:val="000000"/>
          <w:sz w:val="24"/>
          <w:szCs w:val="24"/>
        </w:rPr>
        <w:t xml:space="preserve">Closing date: 2.11.2014.</w:t>
      </w:r>
    </w:p>
    <w:p>
      <w:pPr>
        <w:widowControl w:val="on"/>
        <w:pBdr/>
        <w:spacing w:before="240" w:after="240" w:line="240" w:lineRule="auto"/>
        <w:ind w:left="0" w:right="0"/>
        <w:jc w:val="left"/>
      </w:pPr>
      <w:r>
        <w:rPr>
          <w:color w:val="000000"/>
          <w:sz w:val="24"/>
          <w:szCs w:val="24"/>
        </w:rPr>
        <w:br/>
        <w:t xml:space="preserve">Jelige:IGO991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52843">
    <w:multiLevelType w:val="hybridMultilevel"/>
    <w:lvl w:ilvl="0" w:tplc="61105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52843">
    <w:abstractNumId w:val="34452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4711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