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SZABÓ</w:t>
            </w:r>
          </w:p>
          <w:p w:rsidR="00C275A3" w:rsidRDefault="00A96AEC" w:rsidP="00C275A3">
            <w:pPr>
              <w:pStyle w:val="Hallgatokepzes"/>
            </w:pPr>
            <w:r>
              <w:t>English studies</w:t>
            </w:r>
            <w:r>
              <w:br/>
            </w:r>
            <w:r w:rsidR="00E77B23">
              <w:t>BA, 8.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Szathmári, PhD</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Milestones in a Woman’s Life _nt he Works of Kate Chopin and Zora Neale Hurston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introduce the representation of women’s life around the turn of the 19th and 20th century through The Awakening by Kate Chopin and through Their Eyes Were Watching God by Zora Neale Hurston. I discuss the similarities and differences of the two protagonists’ lives in view of their belonging to different ethno-racial blocks. I also highlight the milestones in their lives and observe how these milestones affect their character.</w:t>
      </w:r>
    </w:p>
    <w:p>
      <w:pPr>
        <w:widowControl w:val="on"/>
        <w:pBdr/>
        <w:spacing w:before="240" w:after="240" w:line="240" w:lineRule="auto"/>
        <w:ind w:left="0" w:right="0"/>
        <w:jc w:val="left"/>
      </w:pPr>
      <w:r>
        <w:rPr>
          <w:color w:val="000000"/>
          <w:sz w:val="24"/>
          <w:szCs w:val="24"/>
        </w:rPr>
        <w:t xml:space="preserve">At first I categorize the two novels in terms of their narratives, and point out that both novels have the characteristics of Bildungsroman and Künstlerroman. However I also call attention to the fact that the works are not completely similar, because Their Eyes Were Watching God draws some characteristics from the slave narrative too.</w:t>
      </w:r>
    </w:p>
    <w:p>
      <w:pPr>
        <w:widowControl w:val="on"/>
        <w:pBdr/>
        <w:spacing w:before="240" w:after="240" w:line="240" w:lineRule="auto"/>
        <w:ind w:left="0" w:right="0"/>
        <w:jc w:val="left"/>
      </w:pPr>
      <w:r>
        <w:rPr>
          <w:color w:val="000000"/>
          <w:sz w:val="24"/>
          <w:szCs w:val="24"/>
        </w:rPr>
        <w:t xml:space="preserve">In the first chapter, I introduce the first major turning point in everyone’s life: adolescence. At this time in life, young people start to wonder why things happen the way they happen, why they are here, what the meaning of life is and they try to find their place. Both Edna and Janie tell us their stories starting with their youth, which is important to be analysed since it influences their future lives.</w:t>
      </w:r>
    </w:p>
    <w:p>
      <w:pPr>
        <w:widowControl w:val="on"/>
        <w:pBdr/>
        <w:spacing w:before="240" w:after="240" w:line="240" w:lineRule="auto"/>
        <w:ind w:left="0" w:right="0"/>
        <w:jc w:val="left"/>
      </w:pPr>
      <w:r>
        <w:rPr>
          <w:color w:val="000000"/>
          <w:sz w:val="24"/>
          <w:szCs w:val="24"/>
        </w:rPr>
        <w:t xml:space="preserve">The second chapter covers the concept of marriage. I offer a detailed analysis of Edna’s and Janie’s marriages, and demonstrate how they experience it. I also look at marriage as an institution and introduce what it provided for women at the turn of the 19th and 20th century. I also highlight that three men play an important role in both Edna’s and Janie’s life, and they represent the same values. However, there is no man in either of the two novels who would represent all the required characteristics in one person, and probably this is the reason why both Edna and Janie decide to live without a man in the end.</w:t>
      </w:r>
    </w:p>
    <w:p>
      <w:pPr>
        <w:widowControl w:val="on"/>
        <w:pBdr/>
        <w:spacing w:before="240" w:after="240" w:line="240" w:lineRule="auto"/>
        <w:ind w:left="0" w:right="0"/>
        <w:jc w:val="left"/>
      </w:pPr>
      <w:r>
        <w:rPr>
          <w:color w:val="000000"/>
          <w:sz w:val="24"/>
          <w:szCs w:val="24"/>
        </w:rPr>
        <w:t xml:space="preserve">In the third chapter I introduce the process of Edna’s and Janie’s awakening. Since nature plays a significant role in this process, I also analyse some natural symbols that appear in the two novels.</w:t>
      </w:r>
    </w:p>
    <w:p>
      <w:pPr>
        <w:widowControl w:val="on"/>
        <w:pBdr/>
        <w:spacing w:before="240" w:after="240" w:line="240" w:lineRule="auto"/>
        <w:ind w:left="0" w:right="0"/>
        <w:jc w:val="left"/>
      </w:pPr>
      <w:r>
        <w:rPr>
          <w:color w:val="000000"/>
          <w:sz w:val="24"/>
          <w:szCs w:val="24"/>
        </w:rPr>
        <w:t xml:space="preserve">Finally, in the last chapter, I demonstrate how Edna and Janie attempt to step out of marriage and live their lives based on their own will. I also highlight what obstacles they have to face to reach independence.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75643">
    <w:multiLevelType w:val="hybridMultilevel"/>
    <w:lvl w:ilvl="0" w:tplc="97021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75643">
    <w:abstractNumId w:val="82475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757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