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SZABÓ</w:t>
            </w:r>
          </w:p>
          <w:p w:rsidR="00C275A3" w:rsidRDefault="00A96AEC" w:rsidP="00C275A3">
            <w:pPr>
              <w:pStyle w:val="Hallgatokepzes"/>
            </w:pPr>
            <w:r>
              <w:t>Business Administration and Management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András Kovács</w:t>
            </w:r>
          </w:p>
          <w:p w:rsidR="00DB4822" w:rsidRDefault="00DB4822" w:rsidP="00E11062">
            <w:pPr>
              <w:pStyle w:val="Konzulensek"/>
            </w:pPr>
            <w:r w:rsidRPr="00DB4822">
              <w:t>College professor,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E-customers and e-shopping in the geographical space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internet; shopping; habits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resarch’s goal is to investigate the e-shopping habits’ differences between the Hungarian capital city and other regions of the country. Prior to the work done, we thought that the e-shopping habits of the inhabitants were different in the 2 areas. For the resarch, we choose a sample of 320 people to ask the questionnaire. With their answers the sample made a representative one. The questions explore the level of education, financial status, internet usage and all the motivations that effect e-shopping.</w:t>
      </w:r>
      <w:r>
        <w:rPr>
          <w:color w:val="000000"/>
          <w:sz w:val="24"/>
          <w:szCs w:val="24"/>
        </w:rPr>
        <w:br/>
        <w:t xml:space="preserve">There are significant differences between the Hungarian capital city and provincial people’s shopping habits.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76141">
    <w:multiLevelType w:val="hybridMultilevel"/>
    <w:lvl w:ilvl="0" w:tplc="61306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76141">
    <w:abstractNumId w:val="77376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2324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